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85" w:rsidRPr="00BC0885" w:rsidRDefault="00BC0885" w:rsidP="00BC0885">
      <w:pPr>
        <w:jc w:val="center"/>
        <w:rPr>
          <w:rFonts w:eastAsia="Times New Roman" w:cs="Times New Roman"/>
          <w:b/>
          <w:szCs w:val="28"/>
          <w:lang w:eastAsia="ru-RU"/>
        </w:rPr>
      </w:pPr>
      <w:r w:rsidRPr="00BC0885">
        <w:rPr>
          <w:rFonts w:eastAsia="Times New Roman" w:cs="Times New Roman"/>
          <w:b/>
          <w:szCs w:val="28"/>
          <w:lang w:eastAsia="ru-RU"/>
        </w:rPr>
        <w:t>Информация</w:t>
      </w:r>
    </w:p>
    <w:p w:rsidR="00BC0885" w:rsidRPr="00BC0885" w:rsidRDefault="00BC0885" w:rsidP="00BC0885">
      <w:pPr>
        <w:jc w:val="center"/>
        <w:rPr>
          <w:rFonts w:eastAsia="Times New Roman" w:cs="Times New Roman"/>
          <w:b/>
          <w:szCs w:val="28"/>
          <w:lang w:eastAsia="ru-RU"/>
        </w:rPr>
      </w:pPr>
      <w:r w:rsidRPr="00BC0885">
        <w:rPr>
          <w:rFonts w:eastAsia="Times New Roman" w:cs="Times New Roman"/>
          <w:b/>
          <w:szCs w:val="28"/>
          <w:lang w:eastAsia="ru-RU"/>
        </w:rPr>
        <w:t xml:space="preserve"> об исполнении Министерством сельского хозяйства и продовольствия Республики Дагестан мероприятий государственной программы «О противодействии коррупции в Республике Дагестан»</w:t>
      </w:r>
    </w:p>
    <w:p w:rsidR="00BC0885" w:rsidRPr="00BC0885" w:rsidRDefault="00BC0885" w:rsidP="00BC0885">
      <w:pPr>
        <w:jc w:val="center"/>
        <w:rPr>
          <w:rFonts w:eastAsia="Times New Roman" w:cs="Times New Roman"/>
          <w:b/>
          <w:szCs w:val="28"/>
          <w:lang w:eastAsia="ru-RU"/>
        </w:rPr>
      </w:pPr>
      <w:r w:rsidRPr="00BC0885">
        <w:rPr>
          <w:rFonts w:eastAsia="Times New Roman" w:cs="Times New Roman"/>
          <w:b/>
          <w:szCs w:val="28"/>
          <w:lang w:eastAsia="ru-RU"/>
        </w:rPr>
        <w:t xml:space="preserve"> за </w:t>
      </w:r>
      <w:r w:rsidR="00FF1102">
        <w:rPr>
          <w:rFonts w:eastAsia="Times New Roman" w:cs="Times New Roman"/>
          <w:b/>
          <w:szCs w:val="28"/>
          <w:lang w:eastAsia="ru-RU"/>
        </w:rPr>
        <w:t xml:space="preserve">1 полугодие </w:t>
      </w:r>
      <w:r w:rsidRPr="00BC0885">
        <w:rPr>
          <w:rFonts w:eastAsia="Times New Roman" w:cs="Times New Roman"/>
          <w:b/>
          <w:szCs w:val="28"/>
          <w:lang w:eastAsia="ru-RU"/>
        </w:rPr>
        <w:t>202</w:t>
      </w:r>
      <w:r w:rsidR="00FF1102">
        <w:rPr>
          <w:rFonts w:eastAsia="Times New Roman" w:cs="Times New Roman"/>
          <w:b/>
          <w:szCs w:val="28"/>
          <w:lang w:eastAsia="ru-RU"/>
        </w:rPr>
        <w:t>3</w:t>
      </w:r>
      <w:r w:rsidRPr="00BC0885">
        <w:rPr>
          <w:rFonts w:eastAsia="Times New Roman" w:cs="Times New Roman"/>
          <w:b/>
          <w:szCs w:val="28"/>
          <w:lang w:eastAsia="ru-RU"/>
        </w:rPr>
        <w:t xml:space="preserve"> год</w:t>
      </w:r>
      <w:r w:rsidR="00FF1102">
        <w:rPr>
          <w:rFonts w:eastAsia="Times New Roman" w:cs="Times New Roman"/>
          <w:b/>
          <w:szCs w:val="28"/>
          <w:lang w:eastAsia="ru-RU"/>
        </w:rPr>
        <w:t>а</w:t>
      </w:r>
    </w:p>
    <w:p w:rsidR="00BC0885" w:rsidRPr="00BC0885" w:rsidRDefault="00BC0885" w:rsidP="00BC0885">
      <w:pPr>
        <w:jc w:val="center"/>
        <w:rPr>
          <w:rFonts w:eastAsia="Times New Roman" w:cs="Times New Roman"/>
          <w:b/>
          <w:szCs w:val="28"/>
          <w:lang w:eastAsia="ru-RU"/>
        </w:rPr>
      </w:pPr>
    </w:p>
    <w:p w:rsidR="00BC0885" w:rsidRPr="00BC0885" w:rsidRDefault="00BC0885" w:rsidP="00BC0885">
      <w:pPr>
        <w:tabs>
          <w:tab w:val="left" w:pos="8955"/>
        </w:tabs>
        <w:jc w:val="left"/>
        <w:rPr>
          <w:rFonts w:eastAsia="Times New Roman" w:cs="Times New Roman"/>
          <w:sz w:val="24"/>
          <w:szCs w:val="24"/>
          <w:u w:val="single"/>
          <w:lang w:eastAsia="ru-RU"/>
        </w:rPr>
      </w:pPr>
      <w:r w:rsidRPr="00BC0885">
        <w:rPr>
          <w:rFonts w:eastAsia="Times New Roman" w:cs="Times New Roman"/>
          <w:b/>
          <w:szCs w:val="28"/>
          <w:lang w:eastAsia="ru-RU"/>
        </w:rPr>
        <w:tab/>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5"/>
        <w:gridCol w:w="6379"/>
        <w:gridCol w:w="1701"/>
      </w:tblGrid>
      <w:tr w:rsidR="00BC0885" w:rsidRPr="00BC0885" w:rsidTr="00DE4D67">
        <w:trPr>
          <w:trHeight w:val="620"/>
        </w:trPr>
        <w:tc>
          <w:tcPr>
            <w:tcW w:w="567" w:type="dxa"/>
            <w:shd w:val="clear" w:color="auto" w:fill="auto"/>
          </w:tcPr>
          <w:p w:rsidR="00BC0885" w:rsidRPr="00BC0885" w:rsidRDefault="00BC0885" w:rsidP="00BC0885">
            <w:pPr>
              <w:jc w:val="left"/>
              <w:rPr>
                <w:rFonts w:eastAsia="Times New Roman" w:cs="Times New Roman"/>
                <w:b/>
                <w:sz w:val="24"/>
                <w:szCs w:val="24"/>
                <w:lang w:eastAsia="ru-RU"/>
              </w:rPr>
            </w:pPr>
            <w:r w:rsidRPr="00BC0885">
              <w:rPr>
                <w:rFonts w:eastAsia="Times New Roman" w:cs="Times New Roman"/>
                <w:b/>
                <w:sz w:val="24"/>
                <w:szCs w:val="24"/>
                <w:lang w:eastAsia="ru-RU"/>
              </w:rPr>
              <w:t xml:space="preserve">№ </w:t>
            </w:r>
          </w:p>
          <w:p w:rsidR="00BC0885" w:rsidRPr="00BC0885" w:rsidRDefault="00BC0885" w:rsidP="00BC0885">
            <w:pPr>
              <w:jc w:val="left"/>
              <w:rPr>
                <w:rFonts w:eastAsia="Times New Roman" w:cs="Times New Roman"/>
                <w:b/>
                <w:sz w:val="24"/>
                <w:szCs w:val="24"/>
                <w:lang w:eastAsia="ru-RU"/>
              </w:rPr>
            </w:pPr>
            <w:r w:rsidRPr="00BC0885">
              <w:rPr>
                <w:rFonts w:eastAsia="Times New Roman" w:cs="Times New Roman"/>
                <w:b/>
                <w:sz w:val="24"/>
                <w:szCs w:val="24"/>
                <w:lang w:eastAsia="ru-RU"/>
              </w:rPr>
              <w:t>п/п</w:t>
            </w:r>
          </w:p>
        </w:tc>
        <w:tc>
          <w:tcPr>
            <w:tcW w:w="6095"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 пункта/ наименование мероприятия</w:t>
            </w:r>
          </w:p>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 xml:space="preserve"> </w:t>
            </w:r>
          </w:p>
        </w:tc>
        <w:tc>
          <w:tcPr>
            <w:tcW w:w="6379"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 xml:space="preserve">Информация об исполнении </w:t>
            </w:r>
          </w:p>
        </w:tc>
        <w:tc>
          <w:tcPr>
            <w:tcW w:w="1701"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Примечание</w:t>
            </w:r>
          </w:p>
        </w:tc>
      </w:tr>
      <w:tr w:rsidR="00BC0885" w:rsidRPr="00BC0885" w:rsidTr="00DE4D67">
        <w:trPr>
          <w:trHeight w:val="298"/>
        </w:trPr>
        <w:tc>
          <w:tcPr>
            <w:tcW w:w="567"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1</w:t>
            </w:r>
          </w:p>
        </w:tc>
        <w:tc>
          <w:tcPr>
            <w:tcW w:w="6095"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2</w:t>
            </w:r>
          </w:p>
        </w:tc>
        <w:tc>
          <w:tcPr>
            <w:tcW w:w="6379"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3</w:t>
            </w:r>
          </w:p>
        </w:tc>
        <w:tc>
          <w:tcPr>
            <w:tcW w:w="1701" w:type="dxa"/>
            <w:shd w:val="clear" w:color="auto" w:fill="auto"/>
          </w:tcPr>
          <w:p w:rsidR="00BC0885" w:rsidRPr="00BC0885" w:rsidRDefault="00BC0885" w:rsidP="00BC0885">
            <w:pPr>
              <w:jc w:val="center"/>
              <w:rPr>
                <w:rFonts w:eastAsia="Times New Roman" w:cs="Times New Roman"/>
                <w:b/>
                <w:sz w:val="24"/>
                <w:szCs w:val="24"/>
                <w:lang w:eastAsia="ru-RU"/>
              </w:rPr>
            </w:pPr>
            <w:r w:rsidRPr="00BC0885">
              <w:rPr>
                <w:rFonts w:eastAsia="Times New Roman" w:cs="Times New Roman"/>
                <w:b/>
                <w:sz w:val="24"/>
                <w:szCs w:val="24"/>
                <w:lang w:eastAsia="ru-RU"/>
              </w:rPr>
              <w:t>4</w:t>
            </w: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w:t>
            </w:r>
          </w:p>
        </w:tc>
        <w:tc>
          <w:tcPr>
            <w:tcW w:w="6095" w:type="dxa"/>
            <w:tcBorders>
              <w:top w:val="nil"/>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1.1. 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6379" w:type="dxa"/>
            <w:tcBorders>
              <w:bottom w:val="single" w:sz="4" w:space="0" w:color="auto"/>
            </w:tcBorders>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За отчетный период нормативно - правовые акты о противодействии коррупции не разрабатывались, изменения в законодательные и иные нормативные правовые акты Республики Дагестан о противодействии коррупции не вносились. </w:t>
            </w:r>
          </w:p>
          <w:p w:rsidR="00BC0885" w:rsidRPr="00BC0885" w:rsidRDefault="00BC0885" w:rsidP="00BC0885">
            <w:pPr>
              <w:jc w:val="both"/>
              <w:rPr>
                <w:rFonts w:eastAsia="Times New Roman" w:cs="Times New Roman"/>
                <w:sz w:val="24"/>
                <w:szCs w:val="24"/>
                <w:u w:val="single"/>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top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1.2. Использование с 1 января 2019 года специального программного обеспечения "Справки БК" всеми лицами, претендующими на замещение должностей или замещающим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w:t>
            </w:r>
            <w:r w:rsidRPr="00BC0885">
              <w:rPr>
                <w:rFonts w:ascii="Times New Roman CYR" w:eastAsia="Times New Roman" w:hAnsi="Times New Roman CYR" w:cs="Times New Roman CYR"/>
                <w:sz w:val="20"/>
                <w:szCs w:val="20"/>
                <w:lang w:eastAsia="ru-RU"/>
              </w:rPr>
              <w:t xml:space="preserve"> </w:t>
            </w:r>
            <w:r w:rsidRPr="00BC0885">
              <w:rPr>
                <w:rFonts w:ascii="Times New Roman CYR" w:eastAsia="Times New Roman" w:hAnsi="Times New Roman CYR" w:cs="Times New Roman CYR"/>
                <w:sz w:val="24"/>
                <w:szCs w:val="24"/>
                <w:lang w:eastAsia="ru-RU"/>
              </w:rPr>
              <w:t>имущественного характера</w:t>
            </w:r>
          </w:p>
        </w:tc>
        <w:tc>
          <w:tcPr>
            <w:tcW w:w="6379" w:type="dxa"/>
            <w:tcBorders>
              <w:top w:val="single" w:sz="4" w:space="0" w:color="auto"/>
            </w:tcBorders>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8"/>
                <w:lang w:eastAsia="ru-RU"/>
              </w:rPr>
              <w:t>В кадровой службе министерства внедрено в работу и используется специальное программное обеспечение «Справки БК» для сбора и обработки сведений</w:t>
            </w:r>
            <w:r w:rsidRPr="00BC0885">
              <w:rPr>
                <w:rFonts w:eastAsia="Times New Roman" w:cs="Times New Roman"/>
                <w:sz w:val="24"/>
                <w:szCs w:val="24"/>
                <w:shd w:val="clear" w:color="auto" w:fill="FFFFFF"/>
                <w:lang w:eastAsia="ru-RU"/>
              </w:rPr>
              <w:t xml:space="preserve">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указанные сведения. На всех рабочих местах служащих министерства установлено специальное программное обеспечение «Справки БК» с помощью которого указанные лица представляют указанные сведения.</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pacing w:val="-6"/>
                <w:sz w:val="24"/>
                <w:szCs w:val="24"/>
                <w:lang w:eastAsia="ru-RU"/>
              </w:rPr>
            </w:pPr>
            <w:r w:rsidRPr="00BC0885">
              <w:rPr>
                <w:rFonts w:ascii="Times New Roman CYR" w:eastAsia="Times New Roman" w:hAnsi="Times New Roman CYR" w:cs="Times New Roman CYR"/>
                <w:color w:val="000000"/>
                <w:spacing w:val="-6"/>
                <w:sz w:val="24"/>
                <w:szCs w:val="24"/>
                <w:lang w:eastAsia="ru-RU"/>
              </w:rPr>
              <w:t xml:space="preserve">1.3. Проведение с соблюдением требований законодательства </w:t>
            </w:r>
            <w:hyperlink r:id="rId4" w:history="1">
              <w:r w:rsidRPr="00BC0885">
                <w:rPr>
                  <w:rFonts w:ascii="Times New Roman CYR" w:eastAsia="Times New Roman" w:hAnsi="Times New Roman CYR" w:cs="Times New Roman"/>
                  <w:color w:val="000000"/>
                  <w:spacing w:val="-6"/>
                  <w:sz w:val="24"/>
                  <w:szCs w:val="24"/>
                  <w:lang w:eastAsia="ru-RU"/>
                </w:rPr>
                <w:t>о государственной</w:t>
              </w:r>
            </w:hyperlink>
            <w:r w:rsidRPr="00BC0885">
              <w:rPr>
                <w:rFonts w:ascii="Times New Roman CYR" w:eastAsia="Times New Roman" w:hAnsi="Times New Roman CYR" w:cs="Times New Roman CYR"/>
                <w:color w:val="000000"/>
                <w:spacing w:val="-6"/>
                <w:sz w:val="24"/>
                <w:szCs w:val="24"/>
                <w:lang w:eastAsia="ru-RU"/>
              </w:rPr>
              <w:t xml:space="preserve"> и </w:t>
            </w:r>
            <w:hyperlink r:id="rId5" w:history="1">
              <w:r w:rsidRPr="00BC0885">
                <w:rPr>
                  <w:rFonts w:ascii="Times New Roman CYR" w:eastAsia="Times New Roman" w:hAnsi="Times New Roman CYR" w:cs="Times New Roman"/>
                  <w:color w:val="000000"/>
                  <w:spacing w:val="-6"/>
                  <w:sz w:val="24"/>
                  <w:szCs w:val="24"/>
                  <w:lang w:eastAsia="ru-RU"/>
                </w:rPr>
                <w:t>муниципальной службе</w:t>
              </w:r>
            </w:hyperlink>
            <w:r w:rsidRPr="00BC0885">
              <w:rPr>
                <w:rFonts w:ascii="Times New Roman CYR" w:eastAsia="Times New Roman" w:hAnsi="Times New Roman CYR" w:cs="Times New Roman CYR"/>
                <w:color w:val="000000"/>
                <w:spacing w:val="-6"/>
                <w:sz w:val="24"/>
                <w:szCs w:val="24"/>
                <w:lang w:eastAsia="ru-RU"/>
              </w:rPr>
              <w:t xml:space="preserve">, </w:t>
            </w:r>
            <w:hyperlink r:id="rId6" w:history="1">
              <w:r w:rsidRPr="00BC0885">
                <w:rPr>
                  <w:rFonts w:ascii="Times New Roman CYR" w:eastAsia="Times New Roman" w:hAnsi="Times New Roman CYR" w:cs="Times New Roman"/>
                  <w:color w:val="000000"/>
                  <w:spacing w:val="-6"/>
                  <w:sz w:val="24"/>
                  <w:szCs w:val="24"/>
                  <w:lang w:eastAsia="ru-RU"/>
                </w:rPr>
                <w:t>о противодействии коррупции</w:t>
              </w:r>
            </w:hyperlink>
            <w:r w:rsidRPr="00BC0885">
              <w:rPr>
                <w:rFonts w:ascii="Times New Roman CYR" w:eastAsia="Times New Roman" w:hAnsi="Times New Roman CYR" w:cs="Times New Roman CYR"/>
                <w:color w:val="000000"/>
                <w:spacing w:val="-6"/>
                <w:sz w:val="24"/>
                <w:szCs w:val="24"/>
                <w:lang w:eastAsia="ru-RU"/>
              </w:rPr>
              <w:t xml:space="preserve"> проверки достоверности и полноты сведений о доходах, расходах, об имуществе и обязательствах имущественного характера, </w:t>
            </w:r>
            <w:r w:rsidRPr="00BC0885">
              <w:rPr>
                <w:rFonts w:ascii="Times New Roman CYR" w:eastAsia="Times New Roman" w:hAnsi="Times New Roman CYR" w:cs="Times New Roman CYR"/>
                <w:color w:val="000000"/>
                <w:spacing w:val="-6"/>
                <w:sz w:val="24"/>
                <w:szCs w:val="24"/>
                <w:lang w:eastAsia="ru-RU"/>
              </w:rPr>
              <w:lastRenderedPageBreak/>
              <w:t>представляемых: государственными и муниципальными служащими; 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lastRenderedPageBreak/>
              <w:t xml:space="preserve">В </w:t>
            </w:r>
            <w:r w:rsidR="00FF1102">
              <w:rPr>
                <w:rFonts w:eastAsia="Times New Roman" w:cs="Times New Roman"/>
                <w:sz w:val="24"/>
                <w:szCs w:val="24"/>
                <w:lang w:eastAsia="ru-RU"/>
              </w:rPr>
              <w:t xml:space="preserve">1 полугодии </w:t>
            </w:r>
            <w:r w:rsidRPr="00BC0885">
              <w:rPr>
                <w:rFonts w:eastAsia="Times New Roman" w:cs="Times New Roman"/>
                <w:sz w:val="24"/>
                <w:szCs w:val="24"/>
                <w:lang w:eastAsia="ru-RU"/>
              </w:rPr>
              <w:t>20</w:t>
            </w:r>
            <w:r w:rsidR="00FF1102">
              <w:rPr>
                <w:rFonts w:eastAsia="Times New Roman" w:cs="Times New Roman"/>
                <w:sz w:val="24"/>
                <w:szCs w:val="24"/>
                <w:lang w:eastAsia="ru-RU"/>
              </w:rPr>
              <w:t>23</w:t>
            </w:r>
            <w:r w:rsidRPr="00BC0885">
              <w:rPr>
                <w:rFonts w:eastAsia="Times New Roman" w:cs="Times New Roman"/>
                <w:sz w:val="24"/>
                <w:szCs w:val="24"/>
                <w:lang w:eastAsia="ru-RU"/>
              </w:rPr>
              <w:t xml:space="preserve"> год</w:t>
            </w:r>
            <w:r w:rsidR="00FF1102">
              <w:rPr>
                <w:rFonts w:eastAsia="Times New Roman" w:cs="Times New Roman"/>
                <w:sz w:val="24"/>
                <w:szCs w:val="24"/>
                <w:lang w:eastAsia="ru-RU"/>
              </w:rPr>
              <w:t>а</w:t>
            </w:r>
            <w:r w:rsidRPr="00BC0885">
              <w:rPr>
                <w:rFonts w:eastAsia="Times New Roman" w:cs="Times New Roman"/>
                <w:sz w:val="24"/>
                <w:szCs w:val="24"/>
                <w:lang w:eastAsia="ru-RU"/>
              </w:rPr>
              <w:t xml:space="preserve"> проверки (за исключением анализа) достоверности и полноты представляемых государственными служащими Республики Дагестан в министерство сведений о доходах, расходах, об имуществе и обязательствах имущественного характера служащих, </w:t>
            </w:r>
            <w:r w:rsidRPr="00BC0885">
              <w:rPr>
                <w:rFonts w:eastAsia="Times New Roman" w:cs="Times New Roman"/>
                <w:sz w:val="24"/>
                <w:szCs w:val="24"/>
                <w:lang w:eastAsia="ru-RU"/>
              </w:rPr>
              <w:lastRenderedPageBreak/>
              <w:t xml:space="preserve">своих супруги (супруга) и несовершеннолетних детей не проводились.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pacing w:val="-6"/>
                <w:sz w:val="24"/>
                <w:szCs w:val="24"/>
                <w:lang w:eastAsia="ru-RU"/>
              </w:rPr>
            </w:pPr>
            <w:r w:rsidRPr="00BC0885">
              <w:rPr>
                <w:rFonts w:ascii="Times New Roman CYR" w:eastAsia="Times New Roman" w:hAnsi="Times New Roman CYR" w:cs="Times New Roman CYR"/>
                <w:color w:val="000000"/>
                <w:spacing w:val="-6"/>
                <w:sz w:val="24"/>
                <w:szCs w:val="24"/>
                <w:lang w:eastAsia="ru-RU"/>
              </w:rPr>
              <w:t>1.4.</w:t>
            </w:r>
            <w:r w:rsidRPr="00BC0885">
              <w:rPr>
                <w:rFonts w:eastAsia="Times New Roman" w:cs="Times New Roman CYR"/>
                <w:spacing w:val="-6"/>
                <w:sz w:val="24"/>
                <w:szCs w:val="24"/>
                <w:lang w:eastAsia="ru-RU"/>
              </w:rPr>
              <w:t xml:space="preserve"> 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ФНС РФ «Единый государственный реестр юридических лиц» и «Единый государственный реестр индивидуальных предпринимателей»</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Оснований для проведения проверок соблюдения государственными служащими требований к служебному поведению, предусмотренных законодательством, не было.</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top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5.</w:t>
            </w:r>
          </w:p>
        </w:tc>
        <w:tc>
          <w:tcPr>
            <w:tcW w:w="6095" w:type="dxa"/>
            <w:tcBorders>
              <w:top w:val="single" w:sz="4" w:space="0" w:color="auto"/>
              <w:left w:val="single" w:sz="4" w:space="0" w:color="auto"/>
              <w:bottom w:val="nil"/>
              <w:right w:val="single" w:sz="4" w:space="0" w:color="auto"/>
            </w:tcBorders>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color w:val="000000"/>
                <w:sz w:val="24"/>
                <w:szCs w:val="24"/>
                <w:lang w:eastAsia="ru-RU"/>
              </w:rPr>
              <w:t xml:space="preserve">1.4 (1). </w:t>
            </w:r>
            <w:r w:rsidRPr="00BC0885">
              <w:rPr>
                <w:rFonts w:eastAsia="Times New Roman" w:cs="Times New Roman"/>
                <w:sz w:val="24"/>
                <w:szCs w:val="24"/>
                <w:lang w:eastAsia="ru-RU"/>
              </w:rPr>
              <w:t>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6379" w:type="dxa"/>
            <w:shd w:val="clear" w:color="auto" w:fill="auto"/>
          </w:tcPr>
          <w:p w:rsidR="00BC0885" w:rsidRPr="00BC0885" w:rsidRDefault="00AD7163" w:rsidP="00BC0885">
            <w:pPr>
              <w:jc w:val="both"/>
              <w:rPr>
                <w:rFonts w:eastAsia="Times New Roman" w:cs="Times New Roman"/>
                <w:sz w:val="24"/>
                <w:szCs w:val="24"/>
                <w:lang w:eastAsia="ru-RU"/>
              </w:rPr>
            </w:pPr>
            <w:r>
              <w:rPr>
                <w:rFonts w:eastAsia="Times New Roman" w:cs="Times New Roman"/>
                <w:sz w:val="24"/>
                <w:szCs w:val="24"/>
                <w:lang w:eastAsia="ru-RU"/>
              </w:rPr>
              <w:t xml:space="preserve">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top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6.</w:t>
            </w:r>
          </w:p>
        </w:tc>
        <w:tc>
          <w:tcPr>
            <w:tcW w:w="6095" w:type="dxa"/>
            <w:tcBorders>
              <w:top w:val="single" w:sz="4" w:space="0" w:color="auto"/>
              <w:left w:val="single" w:sz="4" w:space="0" w:color="auto"/>
              <w:bottom w:val="nil"/>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1.5.</w:t>
            </w:r>
            <w:r w:rsidRPr="00BC0885">
              <w:rPr>
                <w:rFonts w:eastAsia="Times New Roman" w:cs="Times New Roman CYR"/>
                <w:sz w:val="24"/>
                <w:szCs w:val="24"/>
                <w:lang w:eastAsia="ru-RU"/>
              </w:rPr>
              <w:t xml:space="preserve"> 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6379" w:type="dxa"/>
            <w:shd w:val="clear" w:color="auto" w:fill="auto"/>
          </w:tcPr>
          <w:p w:rsidR="00BC0885" w:rsidRPr="00BC0885" w:rsidRDefault="00BC0885" w:rsidP="00BC0885">
            <w:pPr>
              <w:jc w:val="both"/>
              <w:rPr>
                <w:rFonts w:eastAsia="Times New Roman" w:cs="Times New Roman"/>
                <w:color w:val="000000" w:themeColor="text1"/>
                <w:sz w:val="24"/>
                <w:szCs w:val="24"/>
                <w:lang w:eastAsia="ru-RU"/>
              </w:rPr>
            </w:pPr>
            <w:r w:rsidRPr="00BC0885">
              <w:rPr>
                <w:rFonts w:eastAsia="Times New Roman" w:cs="Times New Roman"/>
                <w:color w:val="000000" w:themeColor="text1"/>
                <w:sz w:val="24"/>
                <w:szCs w:val="24"/>
                <w:lang w:eastAsia="ru-RU"/>
              </w:rPr>
              <w:t xml:space="preserve">Информация для проведения проверок о возможности возникновения конфликта интересов у государственного служащего в Министерство не поступала. </w:t>
            </w: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7.</w:t>
            </w:r>
          </w:p>
        </w:tc>
        <w:tc>
          <w:tcPr>
            <w:tcW w:w="6095" w:type="dxa"/>
            <w:tcBorders>
              <w:top w:val="single" w:sz="4" w:space="0" w:color="auto"/>
              <w:left w:val="single" w:sz="4" w:space="0" w:color="auto"/>
              <w:bottom w:val="nil"/>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 xml:space="preserve">1.6. </w:t>
            </w:r>
            <w:r w:rsidRPr="00BC0885">
              <w:rPr>
                <w:rFonts w:eastAsia="Times New Roman" w:cs="Times New Roman CYR"/>
                <w:sz w:val="24"/>
                <w:szCs w:val="24"/>
                <w:lang w:eastAsia="ru-RU"/>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Информация о фактах обращения в целях склонения государственного служащего к совершению коррупционных правонарушений не поступала.</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lastRenderedPageBreak/>
              <w:t>8.</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1.7.</w:t>
            </w:r>
            <w:r w:rsidRPr="00BC0885">
              <w:rPr>
                <w:rFonts w:eastAsia="Times New Roman" w:cs="Times New Roman CYR"/>
                <w:sz w:val="24"/>
                <w:szCs w:val="24"/>
                <w:lang w:eastAsia="ru-RU"/>
              </w:rPr>
              <w:t xml:space="preserve"> 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Республики Дагестан, замещение которых связано с коррупционными рисками</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color w:val="000000" w:themeColor="text1"/>
                <w:sz w:val="24"/>
                <w:szCs w:val="24"/>
                <w:lang w:eastAsia="ru-RU"/>
              </w:rPr>
              <w:t xml:space="preserve">Внесение уточнений и изменений в указанный перечень в настоящее время не требуется.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9.</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1.8.</w:t>
            </w:r>
            <w:r w:rsidRPr="00BC0885">
              <w:rPr>
                <w:rFonts w:ascii="Arial" w:eastAsia="Times New Roman" w:hAnsi="Arial" w:cs="Arial"/>
                <w:sz w:val="20"/>
                <w:szCs w:val="20"/>
                <w:lang w:eastAsia="ru-RU"/>
              </w:rPr>
              <w:t xml:space="preserve"> </w:t>
            </w:r>
            <w:r w:rsidRPr="00BC0885">
              <w:rPr>
                <w:rFonts w:ascii="Times New Roman CYR" w:eastAsia="Times New Roman" w:hAnsi="Times New Roman CYR" w:cs="Times New Roman CYR"/>
                <w:color w:val="000000"/>
                <w:sz w:val="24"/>
                <w:szCs w:val="24"/>
                <w:lang w:eastAsia="ru-RU"/>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pacing w:val="-6"/>
                <w:sz w:val="24"/>
                <w:szCs w:val="24"/>
                <w:lang w:eastAsia="ru-RU"/>
              </w:rPr>
            </w:pPr>
            <w:r w:rsidRPr="00BC0885">
              <w:rPr>
                <w:rFonts w:ascii="Times New Roman CYR" w:eastAsia="Times New Roman" w:hAnsi="Times New Roman CYR" w:cs="Times New Roman CYR"/>
                <w:color w:val="000000"/>
                <w:sz w:val="24"/>
                <w:szCs w:val="24"/>
                <w:lang w:eastAsia="ru-RU"/>
              </w:rPr>
              <w:t xml:space="preserve">      </w:t>
            </w:r>
            <w:r w:rsidRPr="00BC0885">
              <w:rPr>
                <w:rFonts w:ascii="Times New Roman CYR" w:eastAsia="Times New Roman" w:hAnsi="Times New Roman CYR" w:cs="Times New Roman CYR"/>
                <w:color w:val="000000"/>
                <w:spacing w:val="-6"/>
                <w:sz w:val="24"/>
                <w:szCs w:val="24"/>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color w:val="000000"/>
                <w:spacing w:val="-6"/>
                <w:sz w:val="24"/>
                <w:szCs w:val="24"/>
                <w:lang w:eastAsia="ru-RU"/>
              </w:rPr>
              <w:t xml:space="preserve">         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Указанные программы используются в деятельности Министерства со второго квартала 2021 года.</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top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10.</w:t>
            </w:r>
          </w:p>
        </w:tc>
        <w:tc>
          <w:tcPr>
            <w:tcW w:w="6095" w:type="dxa"/>
            <w:tcBorders>
              <w:top w:val="single" w:sz="4" w:space="0" w:color="auto"/>
              <w:left w:val="single" w:sz="4" w:space="0" w:color="auto"/>
              <w:bottom w:val="nil"/>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color w:val="000000"/>
                <w:sz w:val="24"/>
                <w:szCs w:val="24"/>
                <w:lang w:eastAsia="ru-RU"/>
              </w:rPr>
              <w:t>1.9.</w:t>
            </w:r>
            <w:r w:rsidRPr="00BC0885">
              <w:rPr>
                <w:rFonts w:ascii="Times New Roman CYR" w:eastAsia="Times New Roman" w:hAnsi="Times New Roman CYR" w:cs="Times New Roman CYR"/>
                <w:sz w:val="20"/>
                <w:szCs w:val="20"/>
                <w:lang w:eastAsia="ru-RU"/>
              </w:rPr>
              <w:t xml:space="preserve"> </w:t>
            </w:r>
            <w:r w:rsidRPr="00BC0885">
              <w:rPr>
                <w:rFonts w:ascii="Times New Roman CYR" w:eastAsia="Times New Roman" w:hAnsi="Times New Roman CYR" w:cs="Times New Roman CYR"/>
                <w:sz w:val="24"/>
                <w:szCs w:val="24"/>
                <w:lang w:eastAsia="ru-RU"/>
              </w:rPr>
              <w:t xml:space="preserve">Утверждение и последующее исполнение годовых планов работ комиссий по противодействию коррупции исполнительных органов государственной власти Республики Дагестан, и муниципальных районов и </w:t>
            </w:r>
            <w:r w:rsidRPr="00BC0885">
              <w:rPr>
                <w:rFonts w:ascii="Times New Roman CYR" w:eastAsia="Times New Roman" w:hAnsi="Times New Roman CYR" w:cs="Times New Roman CYR"/>
                <w:sz w:val="24"/>
                <w:szCs w:val="24"/>
                <w:lang w:eastAsia="ru-RU"/>
              </w:rPr>
              <w:lastRenderedPageBreak/>
              <w:t>городских округов Республики Дагестан</w:t>
            </w:r>
          </w:p>
          <w:p w:rsidR="00BC0885" w:rsidRPr="00BC0885" w:rsidRDefault="00BC0885" w:rsidP="00BC0885">
            <w:pPr>
              <w:jc w:val="left"/>
              <w:rPr>
                <w:rFonts w:eastAsia="Times New Roman" w:cs="Times New Roman"/>
                <w:sz w:val="24"/>
                <w:szCs w:val="24"/>
                <w:lang w:eastAsia="ru-RU"/>
              </w:rPr>
            </w:pPr>
          </w:p>
          <w:p w:rsidR="00BC0885" w:rsidRPr="00BC0885" w:rsidRDefault="00BC0885" w:rsidP="00BC0885">
            <w:pPr>
              <w:jc w:val="left"/>
              <w:rPr>
                <w:rFonts w:eastAsia="Times New Roman" w:cs="Times New Roman"/>
                <w:sz w:val="24"/>
                <w:szCs w:val="24"/>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lastRenderedPageBreak/>
              <w:t>В министерстве разработан план работы комиссии по противодействию коррупции в Министерстве сельского хозяйства и продовольс</w:t>
            </w:r>
            <w:r w:rsidR="002E55DF">
              <w:rPr>
                <w:rFonts w:eastAsia="Times New Roman" w:cs="Times New Roman"/>
                <w:sz w:val="24"/>
                <w:szCs w:val="24"/>
                <w:lang w:eastAsia="ru-RU"/>
              </w:rPr>
              <w:t>твия Республики Дагестан на 2023</w:t>
            </w:r>
            <w:r w:rsidRPr="00BC0885">
              <w:rPr>
                <w:rFonts w:eastAsia="Times New Roman" w:cs="Times New Roman"/>
                <w:sz w:val="24"/>
                <w:szCs w:val="24"/>
                <w:lang w:eastAsia="ru-RU"/>
              </w:rPr>
              <w:t xml:space="preserve"> год</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11.</w:t>
            </w:r>
          </w:p>
        </w:tc>
        <w:tc>
          <w:tcPr>
            <w:tcW w:w="6095" w:type="dxa"/>
            <w:tcBorders>
              <w:top w:val="single" w:sz="4" w:space="0" w:color="auto"/>
              <w:left w:val="single" w:sz="4" w:space="0" w:color="auto"/>
              <w:bottom w:val="nil"/>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color w:val="000000"/>
                <w:sz w:val="24"/>
                <w:szCs w:val="24"/>
                <w:lang w:eastAsia="ru-RU"/>
              </w:rPr>
              <w:t>1.10.</w:t>
            </w:r>
            <w:r w:rsidRPr="00BC0885">
              <w:rPr>
                <w:rFonts w:ascii="Times New Roman CYR" w:eastAsia="Times New Roman" w:hAnsi="Times New Roman CYR" w:cs="Times New Roman CYR"/>
                <w:sz w:val="24"/>
                <w:szCs w:val="24"/>
                <w:lang w:eastAsia="ru-RU"/>
              </w:rPr>
              <w:t xml:space="preserve"> </w:t>
            </w:r>
            <w:r w:rsidRPr="00BC0885">
              <w:rPr>
                <w:rFonts w:ascii="Times New Roman CYR" w:eastAsia="Times New Roman" w:hAnsi="Times New Roman CYR" w:cs="Times New Roman CYR"/>
                <w:color w:val="000000"/>
                <w:sz w:val="24"/>
                <w:szCs w:val="24"/>
                <w:lang w:eastAsia="ru-RU"/>
              </w:rP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Информация о заседаниях Комиссии размещается на официальном сайте министерства в разделе «Противодействие коррупции» с указанием повестки заседания, даты и места проведения, контактными данными секретаря комиссии. Протоколы заседаний так же размещаются на сайте министерства в разделе «Противодействие коррупции».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12.</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1.11.</w:t>
            </w:r>
            <w:r w:rsidRPr="00BC0885">
              <w:rPr>
                <w:rFonts w:ascii="Times New Roman CYR" w:eastAsia="Times New Roman" w:hAnsi="Times New Roman CYR" w:cs="Times New Roman CYR"/>
                <w:sz w:val="20"/>
                <w:szCs w:val="20"/>
                <w:lang w:eastAsia="ru-RU"/>
              </w:rPr>
              <w:t xml:space="preserve"> </w:t>
            </w:r>
            <w:r w:rsidRPr="00BC0885">
              <w:rPr>
                <w:rFonts w:ascii="Times New Roman CYR" w:eastAsia="Times New Roman" w:hAnsi="Times New Roman CYR" w:cs="Times New Roman CYR"/>
                <w:sz w:val="24"/>
                <w:szCs w:val="24"/>
                <w:lang w:eastAsia="ru-RU"/>
              </w:rP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Состав Комиссии соответствует нормам, установленным Указом Президента Республики Дагестан от 15 сентября 2015 года № 227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w:t>
            </w: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298"/>
        </w:trPr>
        <w:tc>
          <w:tcPr>
            <w:tcW w:w="567" w:type="dxa"/>
            <w:tcBorders>
              <w:bottom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13.</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color w:val="000000"/>
                <w:sz w:val="24"/>
                <w:szCs w:val="24"/>
                <w:lang w:eastAsia="ru-RU"/>
              </w:rPr>
            </w:pPr>
            <w:r w:rsidRPr="00BC0885">
              <w:rPr>
                <w:rFonts w:ascii="Times New Roman CYR" w:eastAsia="Times New Roman" w:hAnsi="Times New Roman CYR" w:cs="Times New Roman CYR"/>
                <w:color w:val="000000"/>
                <w:sz w:val="24"/>
                <w:szCs w:val="24"/>
                <w:lang w:eastAsia="ru-RU"/>
              </w:rPr>
              <w:t>1.13.</w:t>
            </w:r>
            <w:r w:rsidRPr="00BC0885">
              <w:rPr>
                <w:rFonts w:ascii="Times New Roman CYR" w:eastAsia="Times New Roman" w:hAnsi="Times New Roman CYR" w:cs="Times New Roman CYR"/>
                <w:sz w:val="20"/>
                <w:szCs w:val="20"/>
                <w:lang w:eastAsia="ru-RU"/>
              </w:rPr>
              <w:t xml:space="preserve"> </w:t>
            </w:r>
            <w:r w:rsidRPr="00BC0885">
              <w:rPr>
                <w:rFonts w:ascii="Times New Roman CYR" w:eastAsia="Times New Roman" w:hAnsi="Times New Roman CYR" w:cs="Times New Roman CYR"/>
                <w:sz w:val="24"/>
                <w:szCs w:val="24"/>
                <w:lang w:eastAsia="ru-RU"/>
              </w:rP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Рассмотрение на Комиссии по противодействию коррупции Минсельхозпрода РД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 осуществляется в соответствии с планом работы указанной комиссии. </w:t>
            </w: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tcBorders>
              <w:top w:val="single" w:sz="4" w:space="0" w:color="auto"/>
            </w:tcBorders>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14.</w:t>
            </w:r>
          </w:p>
        </w:tc>
        <w:tc>
          <w:tcPr>
            <w:tcW w:w="6095" w:type="dxa"/>
            <w:tcBorders>
              <w:top w:val="single" w:sz="4" w:space="0" w:color="auto"/>
            </w:tcBorders>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1.14. 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p w:rsidR="00BC0885" w:rsidRPr="00BC0885" w:rsidRDefault="00BC0885" w:rsidP="00BC0885">
            <w:pPr>
              <w:jc w:val="both"/>
              <w:rPr>
                <w:rFonts w:eastAsia="Times New Roman" w:cs="Times New Roman"/>
                <w:sz w:val="24"/>
                <w:szCs w:val="24"/>
                <w:u w:val="single"/>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Сведения о доходах, расходах, об имуществе и обязательствах имущественного характера государственных служащих и членов их семей размещены на официальном сайте министерства в разделе «Противодействие коррупции» согласно правилам, установленным законодательством.</w:t>
            </w:r>
          </w:p>
          <w:p w:rsidR="00BC0885" w:rsidRPr="00BC0885" w:rsidRDefault="00BC0885" w:rsidP="00BC0885">
            <w:pPr>
              <w:jc w:val="both"/>
              <w:rPr>
                <w:rFonts w:eastAsia="Times New Roman" w:cs="Times New Roman"/>
                <w:sz w:val="24"/>
                <w:szCs w:val="24"/>
                <w:u w:val="single"/>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lastRenderedPageBreak/>
              <w:t>15.</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1.18.</w:t>
            </w:r>
            <w:r w:rsidRPr="00BC0885">
              <w:rPr>
                <w:rFonts w:eastAsia="Times New Roman" w:cs="Times New Roman"/>
                <w:sz w:val="20"/>
                <w:szCs w:val="20"/>
                <w:lang w:eastAsia="ru-RU"/>
              </w:rPr>
              <w:t xml:space="preserve"> </w:t>
            </w:r>
            <w:r w:rsidRPr="00BC0885">
              <w:rPr>
                <w:rFonts w:eastAsia="Times New Roman" w:cs="Times New Roman"/>
                <w:sz w:val="24"/>
                <w:szCs w:val="24"/>
                <w:lang w:eastAsia="ru-RU"/>
              </w:rP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отражения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9377B0">
            <w:pPr>
              <w:jc w:val="both"/>
              <w:rPr>
                <w:rFonts w:eastAsia="Times New Roman" w:cs="Times New Roman"/>
                <w:sz w:val="24"/>
                <w:szCs w:val="24"/>
                <w:lang w:eastAsia="ru-RU"/>
              </w:rPr>
            </w:pPr>
            <w:r w:rsidRPr="00BC0885">
              <w:rPr>
                <w:rFonts w:eastAsia="Times New Roman" w:cs="Times New Roman"/>
                <w:sz w:val="24"/>
                <w:szCs w:val="24"/>
                <w:lang w:eastAsia="ru-RU"/>
              </w:rPr>
              <w:t xml:space="preserve">В течение </w:t>
            </w:r>
            <w:r w:rsidR="00134BD7">
              <w:rPr>
                <w:rFonts w:eastAsia="Times New Roman" w:cs="Times New Roman"/>
                <w:sz w:val="24"/>
                <w:szCs w:val="24"/>
                <w:lang w:eastAsia="ru-RU"/>
              </w:rPr>
              <w:t>1 полугодия 2</w:t>
            </w:r>
            <w:r w:rsidRPr="00BC0885">
              <w:rPr>
                <w:rFonts w:eastAsia="Times New Roman" w:cs="Times New Roman"/>
                <w:sz w:val="24"/>
                <w:szCs w:val="24"/>
                <w:lang w:eastAsia="ru-RU"/>
              </w:rPr>
              <w:t>02</w:t>
            </w:r>
            <w:r w:rsidR="00134BD7">
              <w:rPr>
                <w:rFonts w:eastAsia="Times New Roman" w:cs="Times New Roman"/>
                <w:sz w:val="24"/>
                <w:szCs w:val="24"/>
                <w:lang w:eastAsia="ru-RU"/>
              </w:rPr>
              <w:t>3</w:t>
            </w:r>
            <w:r w:rsidRPr="00BC0885">
              <w:rPr>
                <w:rFonts w:eastAsia="Times New Roman" w:cs="Times New Roman"/>
                <w:sz w:val="24"/>
                <w:szCs w:val="24"/>
                <w:lang w:eastAsia="ru-RU"/>
              </w:rPr>
              <w:t xml:space="preserve"> года в министерстве проводился</w:t>
            </w:r>
            <w:r w:rsidR="00134BD7">
              <w:rPr>
                <w:rFonts w:eastAsia="Times New Roman" w:cs="Times New Roman"/>
                <w:sz w:val="24"/>
                <w:szCs w:val="24"/>
                <w:lang w:eastAsia="ru-RU"/>
              </w:rPr>
              <w:t xml:space="preserve"> анализ </w:t>
            </w:r>
            <w:r w:rsidRPr="00BC0885">
              <w:rPr>
                <w:rFonts w:eastAsia="Times New Roman" w:cs="Times New Roman"/>
                <w:sz w:val="24"/>
                <w:szCs w:val="24"/>
                <w:lang w:eastAsia="ru-RU"/>
              </w:rPr>
              <w:t xml:space="preserve">Порядков предоставления государственной поддержки и административных регламентов оказания государственных услуг на предмет соответствия требованиям действующего законодательства. В результате, были разработаны </w:t>
            </w:r>
            <w:r w:rsidR="009377B0">
              <w:rPr>
                <w:rFonts w:eastAsia="Times New Roman" w:cs="Times New Roman"/>
                <w:sz w:val="24"/>
                <w:szCs w:val="24"/>
                <w:lang w:eastAsia="ru-RU"/>
              </w:rPr>
              <w:t xml:space="preserve"> проекты региональных и ведомственных нормативных правовых актов о внесении изменений в действующие Порядки предоставления господдержки, </w:t>
            </w:r>
            <w:r w:rsidR="003B1209">
              <w:rPr>
                <w:rFonts w:eastAsia="Times New Roman" w:cs="Times New Roman"/>
                <w:sz w:val="24"/>
                <w:szCs w:val="24"/>
                <w:lang w:eastAsia="ru-RU"/>
              </w:rPr>
              <w:t>Регламенты предоставления государственных услуг</w:t>
            </w:r>
            <w:bookmarkStart w:id="0" w:name="_GoBack"/>
            <w:bookmarkEnd w:id="0"/>
            <w:r w:rsidR="003B1209">
              <w:rPr>
                <w:rFonts w:eastAsia="Times New Roman" w:cs="Times New Roman"/>
                <w:sz w:val="24"/>
                <w:szCs w:val="24"/>
                <w:lang w:eastAsia="ru-RU"/>
              </w:rPr>
              <w:t>.</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16.</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1.19. 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C0885" w:rsidRPr="00BC0885" w:rsidRDefault="00BC0885" w:rsidP="00BC0885">
            <w:pPr>
              <w:jc w:val="both"/>
              <w:rPr>
                <w:rFonts w:eastAsia="Times New Roman" w:cs="Times New Roman"/>
                <w:sz w:val="24"/>
                <w:szCs w:val="24"/>
                <w:lang w:eastAsia="ru-RU"/>
              </w:rPr>
            </w:pPr>
          </w:p>
          <w:p w:rsidR="00BC0885" w:rsidRPr="00BC0885" w:rsidRDefault="00BC0885" w:rsidP="00BC0885">
            <w:pPr>
              <w:jc w:val="both"/>
              <w:rPr>
                <w:rFonts w:eastAsia="Times New Roman" w:cs="Times New Roman"/>
                <w:sz w:val="24"/>
                <w:szCs w:val="24"/>
                <w:u w:val="single"/>
                <w:lang w:eastAsia="ru-RU"/>
              </w:rPr>
            </w:pPr>
          </w:p>
        </w:tc>
        <w:tc>
          <w:tcPr>
            <w:tcW w:w="6379" w:type="dxa"/>
            <w:shd w:val="clear" w:color="auto" w:fill="auto"/>
          </w:tcPr>
          <w:p w:rsidR="00BC0885" w:rsidRPr="00BC0885" w:rsidRDefault="001C63F0" w:rsidP="00BC0885">
            <w:pPr>
              <w:jc w:val="both"/>
              <w:rPr>
                <w:rFonts w:eastAsia="Times New Roman" w:cs="Times New Roman"/>
                <w:sz w:val="24"/>
                <w:szCs w:val="24"/>
                <w:lang w:eastAsia="ru-RU"/>
              </w:rPr>
            </w:pPr>
            <w:r>
              <w:rPr>
                <w:rFonts w:eastAsia="Times New Roman" w:cs="Times New Roman"/>
                <w:sz w:val="24"/>
                <w:szCs w:val="24"/>
                <w:lang w:eastAsia="ru-RU"/>
              </w:rPr>
              <w:t xml:space="preserve"> </w:t>
            </w:r>
            <w:r w:rsidR="00E7408A">
              <w:rPr>
                <w:rFonts w:eastAsia="Times New Roman" w:cs="Times New Roman"/>
                <w:sz w:val="24"/>
                <w:szCs w:val="24"/>
                <w:lang w:eastAsia="ru-RU"/>
              </w:rPr>
              <w:t xml:space="preserve"> </w:t>
            </w:r>
            <w:r>
              <w:rPr>
                <w:rFonts w:eastAsia="Times New Roman" w:cs="Times New Roman"/>
                <w:sz w:val="24"/>
                <w:szCs w:val="24"/>
                <w:lang w:eastAsia="ru-RU"/>
              </w:rPr>
              <w:t xml:space="preserve"> </w:t>
            </w:r>
            <w:r w:rsidR="00E7408A">
              <w:rPr>
                <w:rFonts w:eastAsia="Times New Roman" w:cs="Times New Roman"/>
                <w:sz w:val="24"/>
                <w:szCs w:val="24"/>
                <w:lang w:eastAsia="ru-RU"/>
              </w:rPr>
              <w:t>В</w:t>
            </w:r>
            <w:r w:rsidR="007B500C">
              <w:rPr>
                <w:rFonts w:eastAsia="Times New Roman" w:cs="Times New Roman"/>
                <w:sz w:val="24"/>
                <w:szCs w:val="24"/>
                <w:lang w:eastAsia="ru-RU"/>
              </w:rPr>
              <w:t>опрос</w:t>
            </w:r>
            <w:r w:rsidR="00E7408A">
              <w:rPr>
                <w:rFonts w:eastAsia="Times New Roman" w:cs="Times New Roman"/>
                <w:sz w:val="24"/>
                <w:szCs w:val="24"/>
                <w:lang w:eastAsia="ru-RU"/>
              </w:rPr>
              <w:t>ы</w:t>
            </w:r>
            <w:r w:rsidR="007B500C">
              <w:rPr>
                <w:rFonts w:eastAsia="Times New Roman" w:cs="Times New Roman"/>
                <w:sz w:val="24"/>
                <w:szCs w:val="24"/>
                <w:lang w:eastAsia="ru-RU"/>
              </w:rPr>
              <w:t xml:space="preserve"> о правоприменительной практике по результатам вступивших в законную силу решений Арбитражных судов </w:t>
            </w:r>
            <w:r w:rsidR="00E7408A">
              <w:rPr>
                <w:rFonts w:eastAsia="Times New Roman" w:cs="Times New Roman"/>
                <w:sz w:val="24"/>
                <w:szCs w:val="24"/>
                <w:lang w:eastAsia="ru-RU"/>
              </w:rPr>
              <w:t>рассматриваются в со</w:t>
            </w:r>
            <w:r w:rsidR="007B500C">
              <w:rPr>
                <w:rFonts w:eastAsia="Times New Roman" w:cs="Times New Roman"/>
                <w:sz w:val="24"/>
                <w:szCs w:val="24"/>
                <w:lang w:eastAsia="ru-RU"/>
              </w:rPr>
              <w:t>о</w:t>
            </w:r>
            <w:r w:rsidR="00E7408A">
              <w:rPr>
                <w:rFonts w:eastAsia="Times New Roman" w:cs="Times New Roman"/>
                <w:sz w:val="24"/>
                <w:szCs w:val="24"/>
                <w:lang w:eastAsia="ru-RU"/>
              </w:rPr>
              <w:t>тветствии с Порядком, утверж</w:t>
            </w:r>
            <w:r w:rsidR="00AA709A">
              <w:rPr>
                <w:rFonts w:eastAsia="Times New Roman" w:cs="Times New Roman"/>
                <w:sz w:val="24"/>
                <w:szCs w:val="24"/>
                <w:lang w:eastAsia="ru-RU"/>
              </w:rPr>
              <w:t>д</w:t>
            </w:r>
            <w:r w:rsidR="00E7408A">
              <w:rPr>
                <w:rFonts w:eastAsia="Times New Roman" w:cs="Times New Roman"/>
                <w:sz w:val="24"/>
                <w:szCs w:val="24"/>
                <w:lang w:eastAsia="ru-RU"/>
              </w:rPr>
              <w:t>енным приказом Минсельхозпрода РД от 20.01.2023 № 07</w:t>
            </w:r>
            <w:r w:rsidR="00AA709A">
              <w:rPr>
                <w:rFonts w:eastAsia="Times New Roman" w:cs="Times New Roman"/>
                <w:sz w:val="24"/>
                <w:szCs w:val="24"/>
                <w:lang w:eastAsia="ru-RU"/>
              </w:rPr>
              <w:t>.</w:t>
            </w:r>
            <w:r w:rsidR="007B500C">
              <w:rPr>
                <w:rFonts w:eastAsia="Times New Roman" w:cs="Times New Roman"/>
                <w:sz w:val="24"/>
                <w:szCs w:val="24"/>
                <w:lang w:eastAsia="ru-RU"/>
              </w:rPr>
              <w:t xml:space="preserve"> </w:t>
            </w:r>
            <w:r w:rsidR="00AA709A">
              <w:rPr>
                <w:rFonts w:eastAsia="Times New Roman" w:cs="Times New Roman"/>
                <w:sz w:val="24"/>
                <w:szCs w:val="24"/>
                <w:lang w:eastAsia="ru-RU"/>
              </w:rPr>
              <w:t xml:space="preserve"> </w:t>
            </w:r>
            <w:r w:rsidR="000C4C26">
              <w:rPr>
                <w:rFonts w:eastAsia="Times New Roman" w:cs="Times New Roman"/>
                <w:sz w:val="24"/>
                <w:szCs w:val="24"/>
                <w:lang w:eastAsia="ru-RU"/>
              </w:rPr>
              <w:t xml:space="preserve"> </w:t>
            </w:r>
          </w:p>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 xml:space="preserve">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17.</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1.22.</w:t>
            </w:r>
            <w:r w:rsidRPr="00BC0885">
              <w:rPr>
                <w:rFonts w:ascii="Arial" w:eastAsia="Times New Roman" w:hAnsi="Arial" w:cs="Arial"/>
                <w:sz w:val="20"/>
                <w:szCs w:val="20"/>
                <w:lang w:eastAsia="ru-RU"/>
              </w:rPr>
              <w:t xml:space="preserve"> </w:t>
            </w:r>
            <w:r w:rsidRPr="00BC0885">
              <w:rPr>
                <w:rFonts w:eastAsia="Times New Roman" w:cs="Times New Roman"/>
                <w:sz w:val="24"/>
                <w:szCs w:val="24"/>
                <w:lang w:eastAsia="ru-RU"/>
              </w:rP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В настоящее время проводится оценка эффективности деятельности Министерства сельского хозяйства и продовольствия Республики Дагестан в сфере противодействия коррупции на основании Методики оценки эффективности органов исполнительной власти Республики Дагестан и органов местного самоуправления в сфере противодействия коррупции, разработанной в соответствии со статьей 7 Федерального закона от 25 декабря 2008 года № 273-ФЗ «О противодействии коррупции».</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lastRenderedPageBreak/>
              <w:t>18.</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1.23. 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6379" w:type="dxa"/>
            <w:shd w:val="clear" w:color="auto" w:fill="auto"/>
          </w:tcPr>
          <w:p w:rsidR="00BC0885" w:rsidRPr="00BC0885" w:rsidRDefault="00BC0885" w:rsidP="00BC0885">
            <w:pPr>
              <w:jc w:val="both"/>
              <w:rPr>
                <w:rFonts w:eastAsia="Times New Roman" w:cs="Times New Roman"/>
                <w:spacing w:val="-6"/>
                <w:sz w:val="24"/>
                <w:szCs w:val="28"/>
                <w:lang w:eastAsia="ru-RU"/>
              </w:rPr>
            </w:pPr>
            <w:r w:rsidRPr="00BC0885">
              <w:rPr>
                <w:rFonts w:eastAsia="Times New Roman" w:cs="Times New Roman"/>
                <w:spacing w:val="-6"/>
                <w:sz w:val="24"/>
                <w:szCs w:val="28"/>
                <w:lang w:eastAsia="ru-RU"/>
              </w:rPr>
              <w:t>Организовано индивидуальное консультирование руководителей подведомственных организаций по вопросам применения (соблюдения) антикоррупционных стандартов и процедур, проведение обучающих мероприятий по вопросам профилактики и противодействия коррупции. Осуществляется рассылка методического и нормативного правового материала по вопросам противодействия коррупции. Руководители подведомственных учреждений на местах организуют работу по разъяснению работникам учреждений положений российского законодательства о противодействии коррупции, в том числе об установлении наказания за коммерческий подкуп, получение и дачу взятки, посредничество во взяточничестве, об увольнении в связи с утратой доверия, а также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В трудовых договорах руководителей подведомственных учреждений и в уставах организаций предусмотрена персональная ответственность за организацию работы по противодействию коррупции.</w:t>
            </w:r>
          </w:p>
          <w:p w:rsidR="00BC0885" w:rsidRPr="00BC0885" w:rsidRDefault="00BC0885" w:rsidP="00BC0885">
            <w:pPr>
              <w:jc w:val="both"/>
              <w:rPr>
                <w:rFonts w:eastAsia="Times New Roman" w:cs="Times New Roman"/>
                <w:spacing w:val="-6"/>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19.</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1.24. Проведение анализа практики применения мер юридической ответственности 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Дагестан и муниципальной службы в Республике Дагестан</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6E67E1" w:rsidP="00BC0885">
            <w:pPr>
              <w:jc w:val="both"/>
              <w:rPr>
                <w:rFonts w:eastAsia="Times New Roman" w:cs="Times New Roman"/>
                <w:sz w:val="24"/>
                <w:szCs w:val="24"/>
                <w:lang w:eastAsia="ru-RU"/>
              </w:rPr>
            </w:pPr>
            <w:r>
              <w:rPr>
                <w:rFonts w:eastAsia="Times New Roman" w:cs="Times New Roman"/>
                <w:sz w:val="24"/>
                <w:szCs w:val="24"/>
                <w:lang w:eastAsia="ru-RU"/>
              </w:rPr>
              <w:t>Гражданские служащие министерства к за коррупционные правонарушения к ответственности не привлекались.</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20.</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1.25. 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w:t>
            </w:r>
            <w:r w:rsidRPr="00BC0885">
              <w:rPr>
                <w:rFonts w:eastAsia="Times New Roman" w:cs="Times New Roman"/>
                <w:sz w:val="24"/>
                <w:szCs w:val="24"/>
                <w:lang w:eastAsia="ru-RU"/>
              </w:rPr>
              <w:lastRenderedPageBreak/>
              <w:t>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lastRenderedPageBreak/>
              <w:t>В Министерстве действует  актуализированный состав Комиссии по противодействию коррупции Министерства сельского хозяйства и продовольствия Республики Дагестан.</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21.</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1.26. 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22.</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2.1. 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В течение </w:t>
            </w:r>
            <w:r w:rsidR="00D5706C">
              <w:rPr>
                <w:rFonts w:eastAsia="Times New Roman" w:cs="Times New Roman"/>
                <w:sz w:val="24"/>
                <w:szCs w:val="24"/>
                <w:lang w:eastAsia="ru-RU"/>
              </w:rPr>
              <w:t>1 полугодия 2023</w:t>
            </w:r>
            <w:r w:rsidRPr="00BC0885">
              <w:rPr>
                <w:rFonts w:eastAsia="Times New Roman" w:cs="Times New Roman"/>
                <w:sz w:val="24"/>
                <w:szCs w:val="24"/>
                <w:lang w:eastAsia="ru-RU"/>
              </w:rPr>
              <w:t xml:space="preserve"> года проведена антикоррупционная экспертиза </w:t>
            </w:r>
            <w:r w:rsidR="00CF649E">
              <w:rPr>
                <w:rFonts w:eastAsia="Times New Roman" w:cs="Times New Roman"/>
                <w:sz w:val="24"/>
                <w:szCs w:val="24"/>
                <w:lang w:eastAsia="ru-RU"/>
              </w:rPr>
              <w:t>33</w:t>
            </w:r>
            <w:r w:rsidRPr="00BC0885">
              <w:rPr>
                <w:rFonts w:eastAsia="Times New Roman" w:cs="Times New Roman"/>
                <w:sz w:val="24"/>
                <w:szCs w:val="24"/>
                <w:lang w:eastAsia="ru-RU"/>
              </w:rPr>
              <w:t xml:space="preserve"> проектов нормативных правовых актов министерства, в результате проведения коррупциогенные факторы выявлены не были, замечания от органов, осуществляющих антикоррупционную экспертизу нормативных правовых актов в министерство не поступало. </w:t>
            </w: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23.</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3.2. 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Минсельхозпродом РД систематически проводится мониторинг с учетом пунктов 2,3,6 и 7 Перечня основных направлений осуществления антикоррупционного мониторинга в Республике Дагестан, утверждённого Указом Главы Республики Дагестан от 13 февраля 2017 года № 25</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24.</w:t>
            </w:r>
          </w:p>
        </w:tc>
        <w:tc>
          <w:tcPr>
            <w:tcW w:w="6095" w:type="dxa"/>
            <w:shd w:val="clear" w:color="auto" w:fill="auto"/>
          </w:tcPr>
          <w:p w:rsidR="00BC0885" w:rsidRPr="00BC0885" w:rsidRDefault="00BC0885" w:rsidP="00BC0885">
            <w:pPr>
              <w:autoSpaceDE w:val="0"/>
              <w:autoSpaceDN w:val="0"/>
              <w:adjustRightInd w:val="0"/>
              <w:jc w:val="both"/>
              <w:rPr>
                <w:rFonts w:ascii="Times New Roman CYR" w:eastAsia="Times New Roman" w:hAnsi="Times New Roman CYR" w:cs="Times New Roman CYR"/>
                <w:sz w:val="24"/>
                <w:szCs w:val="24"/>
                <w:lang w:eastAsia="ru-RU"/>
              </w:rPr>
            </w:pPr>
            <w:r w:rsidRPr="00BC0885">
              <w:rPr>
                <w:rFonts w:eastAsia="Times New Roman" w:cs="Times New Roman"/>
                <w:sz w:val="24"/>
                <w:szCs w:val="24"/>
                <w:lang w:eastAsia="ru-RU"/>
              </w:rPr>
              <w:t xml:space="preserve">3.3. </w:t>
            </w:r>
            <w:r w:rsidRPr="00BC0885">
              <w:rPr>
                <w:rFonts w:ascii="Times New Roman CYR" w:eastAsia="Times New Roman" w:hAnsi="Times New Roman CYR" w:cs="Times New Roman CYR"/>
                <w:sz w:val="24"/>
                <w:szCs w:val="24"/>
                <w:lang w:eastAsia="ru-RU"/>
              </w:rPr>
              <w:t>Проведение мониторинга вовлеченности институтов гражданского общества в реализацию антикоррупционной политики;</w:t>
            </w:r>
          </w:p>
          <w:p w:rsidR="00BC0885" w:rsidRPr="00BC0885" w:rsidRDefault="00BC0885" w:rsidP="00BC0885">
            <w:pPr>
              <w:autoSpaceDE w:val="0"/>
              <w:autoSpaceDN w:val="0"/>
              <w:adjustRightInd w:val="0"/>
              <w:jc w:val="both"/>
              <w:rPr>
                <w:rFonts w:ascii="Times New Roman CYR" w:eastAsia="Times New Roman" w:hAnsi="Times New Roman CYR" w:cs="Times New Roman CYR"/>
                <w:sz w:val="24"/>
                <w:szCs w:val="24"/>
                <w:lang w:eastAsia="ru-RU"/>
              </w:rPr>
            </w:pPr>
          </w:p>
          <w:p w:rsidR="00BC0885" w:rsidRPr="00BC0885" w:rsidRDefault="00BC0885" w:rsidP="00BC0885">
            <w:pPr>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lastRenderedPageBreak/>
              <w:t xml:space="preserve">         материалов республиканских средств массовой информации на тему коррупции;</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ascii="Times New Roman CYR" w:eastAsia="Times New Roman" w:hAnsi="Times New Roman CYR" w:cs="Times New Roman CYR"/>
                <w:sz w:val="24"/>
                <w:szCs w:val="24"/>
                <w:lang w:eastAsia="ru-RU"/>
              </w:rPr>
              <w:t xml:space="preserve">        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25.</w:t>
            </w:r>
          </w:p>
        </w:tc>
        <w:tc>
          <w:tcPr>
            <w:tcW w:w="6095" w:type="dxa"/>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 xml:space="preserve">4.1. Обеспечение соблюдения требований </w:t>
            </w:r>
            <w:hyperlink r:id="rId7" w:history="1">
              <w:r w:rsidRPr="00BC0885">
                <w:rPr>
                  <w:rFonts w:ascii="Times New Roman CYR" w:eastAsia="Times New Roman" w:hAnsi="Times New Roman CYR" w:cs="Times New Roman"/>
                  <w:color w:val="000000"/>
                  <w:sz w:val="24"/>
                  <w:szCs w:val="24"/>
                  <w:lang w:eastAsia="ru-RU"/>
                </w:rPr>
                <w:t>законодательства</w:t>
              </w:r>
            </w:hyperlink>
            <w:r w:rsidRPr="00BC0885">
              <w:rPr>
                <w:rFonts w:ascii="Times New Roman CYR" w:eastAsia="Times New Roman" w:hAnsi="Times New Roman CYR" w:cs="Times New Roman CYR"/>
                <w:color w:val="000000"/>
                <w:sz w:val="24"/>
                <w:szCs w:val="24"/>
                <w:lang w:eastAsia="ru-RU"/>
              </w:rPr>
              <w:t xml:space="preserve"> в</w:t>
            </w:r>
            <w:r w:rsidRPr="00BC0885">
              <w:rPr>
                <w:rFonts w:ascii="Times New Roman CYR" w:eastAsia="Times New Roman" w:hAnsi="Times New Roman CYR" w:cs="Times New Roman CYR"/>
                <w:sz w:val="24"/>
                <w:szCs w:val="24"/>
                <w:lang w:eastAsia="ru-RU"/>
              </w:rPr>
              <w:t xml:space="preserve">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государственной(муниципальной) службы</w:t>
            </w: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 xml:space="preserve">          Назначение на должности государственной службы в министерстве осуществляется по итогам конкурсов на замещение вакантных должностей государственной гражданской службы Республики Дагестан в министерстве и зачисления из кадрового резерва. Конкурсы проводятся в соответствии с действующим законодательством о государственной гражданской службе. В министерстве с гражданами, претендующими на должность государственной гражданской службы и с работниками, впервые принятыми на государственную гражданскую службу, проводится консультативная и разъяснительная работа по соблюдению ими требований законодательства в области противодействия коррупции, государственной гражданской службы.</w:t>
            </w:r>
          </w:p>
          <w:p w:rsidR="00BC0885" w:rsidRPr="00BC0885" w:rsidRDefault="00BC0885" w:rsidP="00BC567C">
            <w:pPr>
              <w:jc w:val="both"/>
              <w:rPr>
                <w:rFonts w:eastAsia="Times New Roman" w:cs="Times New Roman"/>
                <w:sz w:val="24"/>
                <w:szCs w:val="24"/>
                <w:u w:val="single"/>
                <w:lang w:eastAsia="ru-RU"/>
              </w:rPr>
            </w:pPr>
            <w:r w:rsidRPr="00BC0885">
              <w:rPr>
                <w:rFonts w:eastAsia="Times New Roman" w:cs="Times New Roman"/>
                <w:sz w:val="24"/>
                <w:szCs w:val="24"/>
                <w:lang w:eastAsia="ru-RU"/>
              </w:rPr>
              <w:t xml:space="preserve">           В </w:t>
            </w:r>
            <w:r w:rsidR="00BB71AB">
              <w:rPr>
                <w:rFonts w:eastAsia="Times New Roman" w:cs="Times New Roman"/>
                <w:sz w:val="24"/>
                <w:szCs w:val="24"/>
                <w:lang w:eastAsia="ru-RU"/>
              </w:rPr>
              <w:t>1 полугодии</w:t>
            </w:r>
            <w:r w:rsidRPr="00BC0885">
              <w:rPr>
                <w:rFonts w:eastAsia="Times New Roman" w:cs="Times New Roman"/>
                <w:sz w:val="24"/>
                <w:szCs w:val="24"/>
                <w:lang w:eastAsia="ru-RU"/>
              </w:rPr>
              <w:t xml:space="preserve"> </w:t>
            </w:r>
            <w:r w:rsidR="00BB71AB">
              <w:rPr>
                <w:rFonts w:eastAsia="Times New Roman" w:cs="Times New Roman"/>
                <w:sz w:val="24"/>
                <w:szCs w:val="24"/>
                <w:lang w:eastAsia="ru-RU"/>
              </w:rPr>
              <w:t>2023</w:t>
            </w:r>
            <w:r w:rsidRPr="00BC0885">
              <w:rPr>
                <w:rFonts w:eastAsia="Times New Roman" w:cs="Times New Roman"/>
                <w:sz w:val="24"/>
                <w:szCs w:val="24"/>
                <w:lang w:eastAsia="ru-RU"/>
              </w:rPr>
              <w:t xml:space="preserve"> год</w:t>
            </w:r>
            <w:r w:rsidR="00BB71AB">
              <w:rPr>
                <w:rFonts w:eastAsia="Times New Roman" w:cs="Times New Roman"/>
                <w:sz w:val="24"/>
                <w:szCs w:val="24"/>
                <w:lang w:eastAsia="ru-RU"/>
              </w:rPr>
              <w:t>а</w:t>
            </w:r>
            <w:r w:rsidRPr="00BC0885">
              <w:rPr>
                <w:rFonts w:eastAsia="Times New Roman" w:cs="Times New Roman"/>
                <w:sz w:val="24"/>
                <w:szCs w:val="24"/>
                <w:lang w:eastAsia="ru-RU"/>
              </w:rPr>
              <w:t xml:space="preserve"> на должность государственной гражданской службы</w:t>
            </w:r>
            <w:r w:rsidR="00053204">
              <w:rPr>
                <w:rFonts w:eastAsia="Times New Roman" w:cs="Times New Roman"/>
                <w:sz w:val="24"/>
                <w:szCs w:val="24"/>
                <w:lang w:eastAsia="ru-RU"/>
              </w:rPr>
              <w:t xml:space="preserve"> ( начальник управления)</w:t>
            </w:r>
            <w:r w:rsidRPr="00BC0885">
              <w:rPr>
                <w:rFonts w:eastAsia="Times New Roman" w:cs="Times New Roman"/>
                <w:sz w:val="24"/>
                <w:szCs w:val="24"/>
                <w:lang w:eastAsia="ru-RU"/>
              </w:rPr>
              <w:t xml:space="preserve"> </w:t>
            </w:r>
            <w:r w:rsidR="00BC567C">
              <w:rPr>
                <w:rFonts w:eastAsia="Times New Roman" w:cs="Times New Roman"/>
                <w:sz w:val="24"/>
                <w:szCs w:val="24"/>
                <w:lang w:eastAsia="ru-RU"/>
              </w:rPr>
              <w:t>принят  1</w:t>
            </w:r>
            <w:r w:rsidRPr="00BC0885">
              <w:rPr>
                <w:rFonts w:eastAsia="Times New Roman" w:cs="Times New Roman"/>
                <w:sz w:val="24"/>
                <w:szCs w:val="24"/>
                <w:lang w:eastAsia="ru-RU"/>
              </w:rPr>
              <w:t>.</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26.</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4.2. (1).  Обеспечение участия:</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w:t>
            </w:r>
            <w:r w:rsidRPr="00BC0885">
              <w:rPr>
                <w:rFonts w:eastAsia="Times New Roman" w:cs="Times New Roman"/>
                <w:sz w:val="24"/>
                <w:szCs w:val="24"/>
                <w:lang w:eastAsia="ru-RU"/>
              </w:rPr>
              <w:lastRenderedPageBreak/>
              <w:t>антикоррупционных стандартов, в мероприятиях по профессиональному развитию в области противодействия коррупции;</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государственных (муниципальных)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6379" w:type="dxa"/>
            <w:shd w:val="clear" w:color="auto" w:fill="auto"/>
          </w:tcPr>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r w:rsidRPr="00BC0885">
              <w:rPr>
                <w:rFonts w:eastAsia="Times New Roman" w:cs="Times New Roman"/>
                <w:sz w:val="24"/>
                <w:szCs w:val="28"/>
                <w:lang w:eastAsia="ru-RU"/>
              </w:rPr>
              <w:t xml:space="preserve">В течение </w:t>
            </w:r>
            <w:r w:rsidR="00A578E1">
              <w:rPr>
                <w:rFonts w:eastAsia="Times New Roman" w:cs="Times New Roman"/>
                <w:sz w:val="24"/>
                <w:szCs w:val="28"/>
                <w:lang w:eastAsia="ru-RU"/>
              </w:rPr>
              <w:t xml:space="preserve">1 полугодия </w:t>
            </w:r>
            <w:r w:rsidRPr="00BC0885">
              <w:rPr>
                <w:rFonts w:eastAsia="Times New Roman" w:cs="Times New Roman"/>
                <w:sz w:val="24"/>
                <w:szCs w:val="28"/>
                <w:lang w:eastAsia="ru-RU"/>
              </w:rPr>
              <w:t>202</w:t>
            </w:r>
            <w:r w:rsidR="00A578E1">
              <w:rPr>
                <w:rFonts w:eastAsia="Times New Roman" w:cs="Times New Roman"/>
                <w:sz w:val="24"/>
                <w:szCs w:val="28"/>
                <w:lang w:eastAsia="ru-RU"/>
              </w:rPr>
              <w:t>3</w:t>
            </w:r>
            <w:r w:rsidRPr="00BC0885">
              <w:rPr>
                <w:rFonts w:eastAsia="Times New Roman" w:cs="Times New Roman"/>
                <w:sz w:val="24"/>
                <w:szCs w:val="28"/>
                <w:lang w:eastAsia="ru-RU"/>
              </w:rPr>
              <w:t xml:space="preserve"> года </w:t>
            </w:r>
            <w:r w:rsidR="00A578E1">
              <w:rPr>
                <w:rFonts w:eastAsia="Times New Roman" w:cs="Times New Roman"/>
                <w:sz w:val="24"/>
                <w:szCs w:val="28"/>
                <w:lang w:eastAsia="ru-RU"/>
              </w:rPr>
              <w:t>3</w:t>
            </w:r>
            <w:r w:rsidRPr="00BC0885">
              <w:rPr>
                <w:rFonts w:eastAsia="Times New Roman" w:cs="Times New Roman"/>
                <w:sz w:val="24"/>
                <w:szCs w:val="28"/>
                <w:lang w:eastAsia="ru-RU"/>
              </w:rPr>
              <w:t xml:space="preserve"> </w:t>
            </w:r>
            <w:r w:rsidRPr="00BC0885">
              <w:rPr>
                <w:rFonts w:eastAsia="Times New Roman" w:cs="Times New Roman"/>
                <w:sz w:val="24"/>
                <w:szCs w:val="24"/>
                <w:lang w:eastAsia="ru-RU"/>
              </w:rPr>
              <w:t>государственных служащих, в должностные обязанности которых входит участие в противодействии коррупции</w:t>
            </w:r>
            <w:r w:rsidRPr="00BC0885">
              <w:rPr>
                <w:rFonts w:eastAsia="Times New Roman" w:cs="Times New Roman"/>
                <w:sz w:val="24"/>
                <w:szCs w:val="28"/>
                <w:lang w:eastAsia="ru-RU"/>
              </w:rPr>
              <w:t xml:space="preserve"> приняли </w:t>
            </w:r>
            <w:r w:rsidRPr="00BC0885">
              <w:rPr>
                <w:rFonts w:eastAsia="Times New Roman" w:cs="Times New Roman"/>
                <w:sz w:val="24"/>
                <w:szCs w:val="24"/>
                <w:lang w:eastAsia="ru-RU"/>
              </w:rPr>
              <w:t>участие в мероприятиях по профессиональному развитию в области противодействия коррупции.</w:t>
            </w:r>
            <w:r w:rsidRPr="00BC0885">
              <w:rPr>
                <w:rFonts w:eastAsia="Times New Roman" w:cs="Times New Roman"/>
                <w:sz w:val="24"/>
                <w:szCs w:val="28"/>
                <w:lang w:eastAsia="ru-RU"/>
              </w:rPr>
              <w:t xml:space="preserve"> </w:t>
            </w: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jc w:val="both"/>
              <w:rPr>
                <w:rFonts w:eastAsia="Times New Roman" w:cs="Times New Roman"/>
                <w:sz w:val="24"/>
                <w:szCs w:val="28"/>
                <w:lang w:eastAsia="ru-RU"/>
              </w:rPr>
            </w:pP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w:t>
            </w:r>
          </w:p>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  В </w:t>
            </w:r>
            <w:r w:rsidR="00A578E1">
              <w:rPr>
                <w:rFonts w:eastAsia="Times New Roman" w:cs="Times New Roman"/>
                <w:sz w:val="24"/>
                <w:szCs w:val="24"/>
                <w:lang w:eastAsia="ru-RU"/>
              </w:rPr>
              <w:t>течение</w:t>
            </w:r>
            <w:r w:rsidRPr="00BC0885">
              <w:rPr>
                <w:rFonts w:eastAsia="Times New Roman" w:cs="Times New Roman"/>
                <w:sz w:val="24"/>
                <w:szCs w:val="24"/>
                <w:lang w:eastAsia="ru-RU"/>
              </w:rPr>
              <w:t xml:space="preserve"> </w:t>
            </w:r>
            <w:r w:rsidR="00A578E1">
              <w:rPr>
                <w:rFonts w:eastAsia="Times New Roman" w:cs="Times New Roman"/>
                <w:sz w:val="24"/>
                <w:szCs w:val="24"/>
                <w:lang w:eastAsia="ru-RU"/>
              </w:rPr>
              <w:t xml:space="preserve">1 полугодия </w:t>
            </w:r>
            <w:r w:rsidRPr="00BC0885">
              <w:rPr>
                <w:rFonts w:eastAsia="Times New Roman" w:cs="Times New Roman"/>
                <w:sz w:val="24"/>
                <w:szCs w:val="24"/>
                <w:lang w:eastAsia="ru-RU"/>
              </w:rPr>
              <w:t>202</w:t>
            </w:r>
            <w:r w:rsidR="00A578E1">
              <w:rPr>
                <w:rFonts w:eastAsia="Times New Roman" w:cs="Times New Roman"/>
                <w:sz w:val="24"/>
                <w:szCs w:val="24"/>
                <w:lang w:eastAsia="ru-RU"/>
              </w:rPr>
              <w:t>3</w:t>
            </w:r>
            <w:r w:rsidRPr="00BC0885">
              <w:rPr>
                <w:rFonts w:eastAsia="Times New Roman" w:cs="Times New Roman"/>
                <w:sz w:val="24"/>
                <w:szCs w:val="24"/>
                <w:lang w:eastAsia="ru-RU"/>
              </w:rPr>
              <w:t xml:space="preserve"> года государственные служащие кадрового подразделения приняли участие в мероприятиях по профессиональному развитию в области противодействия коррупции. </w:t>
            </w: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27.</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 xml:space="preserve">4.3. </w:t>
            </w:r>
            <w:r w:rsidRPr="00BC0885">
              <w:rPr>
                <w:rFonts w:eastAsia="Times New Roman" w:cs="Times New Roman"/>
                <w:spacing w:val="-4"/>
                <w:sz w:val="24"/>
                <w:szCs w:val="24"/>
                <w:lang w:eastAsia="ru-RU"/>
              </w:rP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6379" w:type="dxa"/>
            <w:shd w:val="clear" w:color="auto" w:fill="auto"/>
          </w:tcPr>
          <w:p w:rsidR="00BC0885" w:rsidRPr="00BC0885" w:rsidRDefault="00BC0885" w:rsidP="00BC0885">
            <w:pPr>
              <w:jc w:val="both"/>
              <w:rPr>
                <w:rFonts w:eastAsia="Times New Roman" w:cs="Times New Roman"/>
                <w:sz w:val="24"/>
                <w:szCs w:val="28"/>
                <w:lang w:eastAsia="ru-RU"/>
              </w:rPr>
            </w:pPr>
            <w:r w:rsidRPr="00BC0885">
              <w:rPr>
                <w:rFonts w:eastAsia="Times New Roman" w:cs="Times New Roman"/>
                <w:sz w:val="24"/>
                <w:szCs w:val="24"/>
                <w:lang w:eastAsia="ru-RU"/>
              </w:rPr>
              <w:t xml:space="preserve">В </w:t>
            </w:r>
            <w:r w:rsidR="00BC567C">
              <w:rPr>
                <w:rFonts w:eastAsia="Times New Roman" w:cs="Times New Roman"/>
                <w:sz w:val="24"/>
                <w:szCs w:val="24"/>
                <w:lang w:eastAsia="ru-RU"/>
              </w:rPr>
              <w:t>1 полугодии 2023 года</w:t>
            </w:r>
            <w:r w:rsidRPr="00BC0885">
              <w:rPr>
                <w:rFonts w:eastAsia="Times New Roman" w:cs="Times New Roman"/>
                <w:sz w:val="24"/>
                <w:szCs w:val="24"/>
                <w:lang w:eastAsia="ru-RU"/>
              </w:rPr>
              <w:t xml:space="preserve"> в краткосрочных специализированных семинарах, направленных на повышение квалификации </w:t>
            </w:r>
            <w:r w:rsidRPr="00BC0885">
              <w:rPr>
                <w:rFonts w:eastAsia="Times New Roman" w:cs="Times New Roman"/>
                <w:sz w:val="24"/>
                <w:szCs w:val="28"/>
                <w:lang w:eastAsia="ru-RU"/>
              </w:rPr>
              <w:t>по программам в области противодействия коррупции, приняли</w:t>
            </w:r>
            <w:r w:rsidR="003E62DC">
              <w:rPr>
                <w:rFonts w:eastAsia="Times New Roman" w:cs="Times New Roman"/>
                <w:sz w:val="24"/>
                <w:szCs w:val="28"/>
                <w:lang w:eastAsia="ru-RU"/>
              </w:rPr>
              <w:t xml:space="preserve"> участие 3</w:t>
            </w:r>
            <w:r w:rsidRPr="00BC0885">
              <w:rPr>
                <w:rFonts w:eastAsia="Times New Roman" w:cs="Times New Roman"/>
                <w:sz w:val="24"/>
                <w:szCs w:val="28"/>
                <w:lang w:eastAsia="ru-RU"/>
              </w:rPr>
              <w:t xml:space="preserve"> гражданских служащих управления делами, правового обеспечения, противодействия коррупции и внутреннего аудита министерства. </w:t>
            </w:r>
          </w:p>
          <w:p w:rsidR="00BC0885" w:rsidRPr="00BC0885" w:rsidRDefault="00BC0885" w:rsidP="00BC0885">
            <w:pPr>
              <w:jc w:val="both"/>
              <w:rPr>
                <w:rFonts w:eastAsia="Times New Roman" w:cs="Times New Roman"/>
                <w:sz w:val="24"/>
                <w:szCs w:val="24"/>
                <w:lang w:eastAsia="ru-RU"/>
              </w:rPr>
            </w:pP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28.</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4.18. 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w:t>
            </w:r>
            <w:r w:rsidRPr="00BC0885">
              <w:rPr>
                <w:rFonts w:eastAsia="Times New Roman" w:cs="Times New Roman"/>
                <w:sz w:val="24"/>
                <w:szCs w:val="24"/>
                <w:lang w:eastAsia="ru-RU"/>
              </w:rPr>
              <w:lastRenderedPageBreak/>
              <w:t>самоуправления, общественных объединений, участвующих в противодействии коррупции, и других институтов гражданского общества</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8"/>
                <w:lang w:eastAsia="ru-RU"/>
              </w:rPr>
              <w:lastRenderedPageBreak/>
              <w:t xml:space="preserve">В министерстве постоянно ведется работа по антикоррупционному и правовому просвещению государственных гражданских служащих министерства в целях обеспечения соблюдения запретов, ограничений, требований исполнения обязанностей, установленных в целях противодействия коррупции. Уведомлений от государственных гражданских служащих министерства о фактах обращения к ним в целях склонения их к совершению коррупционных правонарушений, сообщений </w:t>
            </w:r>
            <w:r w:rsidRPr="00BC0885">
              <w:rPr>
                <w:rFonts w:eastAsia="Times New Roman" w:cs="Times New Roman"/>
                <w:sz w:val="24"/>
                <w:szCs w:val="28"/>
                <w:lang w:eastAsia="ru-RU"/>
              </w:rPr>
              <w:lastRenderedPageBreak/>
              <w:t xml:space="preserve">о получении ими подарков в связи с их должностным положением или исполнением ими служебных (должностных) обязанностей в отчетный период не поступало.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4.20. 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w:t>
            </w:r>
          </w:p>
        </w:tc>
        <w:tc>
          <w:tcPr>
            <w:tcW w:w="6379" w:type="dxa"/>
            <w:shd w:val="clear" w:color="auto" w:fill="auto"/>
          </w:tcPr>
          <w:p w:rsidR="00BC0885" w:rsidRPr="00BC0885" w:rsidRDefault="00BC0885" w:rsidP="00BC0885">
            <w:pPr>
              <w:jc w:val="both"/>
              <w:rPr>
                <w:rFonts w:eastAsia="Times New Roman" w:cs="Times New Roman"/>
                <w:color w:val="22272F"/>
                <w:sz w:val="24"/>
                <w:szCs w:val="28"/>
                <w:lang w:eastAsia="ru-RU"/>
              </w:rPr>
            </w:pPr>
            <w:r w:rsidRPr="00BC0885">
              <w:rPr>
                <w:rFonts w:eastAsia="Times New Roman" w:cs="Times New Roman"/>
                <w:sz w:val="24"/>
                <w:szCs w:val="24"/>
                <w:lang w:eastAsia="ru-RU"/>
              </w:rPr>
              <w:t xml:space="preserve">В </w:t>
            </w:r>
            <w:r w:rsidR="003E62DC">
              <w:rPr>
                <w:rFonts w:eastAsia="Times New Roman" w:cs="Times New Roman"/>
                <w:sz w:val="24"/>
                <w:szCs w:val="24"/>
                <w:lang w:eastAsia="ru-RU"/>
              </w:rPr>
              <w:t xml:space="preserve">1 полугодии </w:t>
            </w:r>
            <w:r w:rsidRPr="00BC0885">
              <w:rPr>
                <w:rFonts w:eastAsia="Times New Roman" w:cs="Times New Roman"/>
                <w:sz w:val="24"/>
                <w:szCs w:val="24"/>
                <w:lang w:eastAsia="ru-RU"/>
              </w:rPr>
              <w:t>202</w:t>
            </w:r>
            <w:r w:rsidR="003E62DC">
              <w:rPr>
                <w:rFonts w:eastAsia="Times New Roman" w:cs="Times New Roman"/>
                <w:sz w:val="24"/>
                <w:szCs w:val="24"/>
                <w:lang w:eastAsia="ru-RU"/>
              </w:rPr>
              <w:t>3</w:t>
            </w:r>
            <w:r w:rsidRPr="00BC0885">
              <w:rPr>
                <w:rFonts w:eastAsia="Times New Roman" w:cs="Times New Roman"/>
                <w:sz w:val="24"/>
                <w:szCs w:val="24"/>
                <w:lang w:eastAsia="ru-RU"/>
              </w:rPr>
              <w:t xml:space="preserve"> год</w:t>
            </w:r>
            <w:r w:rsidR="003E62DC">
              <w:rPr>
                <w:rFonts w:eastAsia="Times New Roman" w:cs="Times New Roman"/>
                <w:sz w:val="24"/>
                <w:szCs w:val="24"/>
                <w:lang w:eastAsia="ru-RU"/>
              </w:rPr>
              <w:t>а</w:t>
            </w:r>
            <w:r w:rsidRPr="00BC0885">
              <w:rPr>
                <w:rFonts w:eastAsia="Times New Roman" w:cs="Times New Roman"/>
                <w:sz w:val="24"/>
                <w:szCs w:val="24"/>
                <w:lang w:eastAsia="ru-RU"/>
              </w:rPr>
              <w:t xml:space="preserve"> семинары-совещания с представителями общественных советов (общественных палат) по вопросам противодействия коррупции не проводились</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29.</w:t>
            </w:r>
          </w:p>
        </w:tc>
        <w:tc>
          <w:tcPr>
            <w:tcW w:w="6095" w:type="dxa"/>
            <w:shd w:val="clear" w:color="auto" w:fill="auto"/>
          </w:tcPr>
          <w:p w:rsidR="00BC0885" w:rsidRPr="00BC0885" w:rsidRDefault="00BC0885" w:rsidP="00BC0885">
            <w:pPr>
              <w:autoSpaceDE w:val="0"/>
              <w:autoSpaceDN w:val="0"/>
              <w:adjustRightInd w:val="0"/>
              <w:jc w:val="left"/>
              <w:rPr>
                <w:rFonts w:eastAsia="Times New Roman" w:cs="Times New Roman"/>
                <w:sz w:val="24"/>
                <w:szCs w:val="24"/>
                <w:lang w:eastAsia="ru-RU"/>
              </w:rPr>
            </w:pPr>
            <w:r w:rsidRPr="00BC0885">
              <w:rPr>
                <w:rFonts w:eastAsia="Times New Roman" w:cs="Times New Roman"/>
                <w:sz w:val="24"/>
                <w:szCs w:val="24"/>
                <w:lang w:eastAsia="ru-RU"/>
              </w:rPr>
              <w:t>4.21. Формирование системы общественного контроля в сферах государственного и муниципального управления</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053204">
            <w:pPr>
              <w:jc w:val="both"/>
              <w:rPr>
                <w:rFonts w:eastAsia="Times New Roman" w:cs="Times New Roman"/>
                <w:color w:val="22272F"/>
                <w:sz w:val="24"/>
                <w:szCs w:val="28"/>
                <w:lang w:eastAsia="ru-RU"/>
              </w:rPr>
            </w:pPr>
            <w:r w:rsidRPr="00BC0885">
              <w:rPr>
                <w:rFonts w:eastAsia="Times New Roman" w:cs="Times New Roman"/>
                <w:color w:val="22272F"/>
                <w:sz w:val="24"/>
                <w:szCs w:val="28"/>
                <w:lang w:eastAsia="ru-RU"/>
              </w:rPr>
              <w:t xml:space="preserve">В целях формирования системы общественного контроля в сфере государственного управления при Министерстве сформирован Общественный совет. </w:t>
            </w:r>
            <w:r w:rsidR="00053204">
              <w:rPr>
                <w:rFonts w:eastAsia="Times New Roman" w:cs="Times New Roman"/>
                <w:color w:val="22272F"/>
                <w:sz w:val="24"/>
                <w:szCs w:val="28"/>
                <w:lang w:eastAsia="ru-RU"/>
              </w:rPr>
              <w:t xml:space="preserve"> </w:t>
            </w:r>
            <w:r w:rsidR="00053204">
              <w:rPr>
                <w:rFonts w:eastAsia="Times New Roman" w:cs="Times New Roman"/>
                <w:color w:val="22272F"/>
                <w:sz w:val="24"/>
                <w:szCs w:val="28"/>
                <w:lang w:eastAsia="ru-RU"/>
              </w:rPr>
              <w:t>П</w:t>
            </w:r>
            <w:r w:rsidR="00053204" w:rsidRPr="00BC0885">
              <w:rPr>
                <w:rFonts w:eastAsia="Times New Roman" w:cs="Times New Roman"/>
                <w:color w:val="22272F"/>
                <w:sz w:val="24"/>
                <w:szCs w:val="28"/>
                <w:lang w:eastAsia="ru-RU"/>
              </w:rPr>
              <w:t>редставители общественных и научных организаций, члены Общественной палаты РД, главы КФХ</w:t>
            </w:r>
            <w:r w:rsidR="00053204">
              <w:rPr>
                <w:rFonts w:eastAsia="Times New Roman" w:cs="Times New Roman"/>
                <w:color w:val="22272F"/>
                <w:sz w:val="24"/>
                <w:szCs w:val="28"/>
                <w:lang w:eastAsia="ru-RU"/>
              </w:rPr>
              <w:t xml:space="preserve"> </w:t>
            </w:r>
            <w:r w:rsidR="00053204">
              <w:rPr>
                <w:rFonts w:eastAsia="Times New Roman" w:cs="Times New Roman"/>
                <w:color w:val="22272F"/>
                <w:sz w:val="24"/>
                <w:szCs w:val="28"/>
                <w:lang w:eastAsia="ru-RU"/>
              </w:rPr>
              <w:t>включены</w:t>
            </w:r>
            <w:r w:rsidR="00053204" w:rsidRPr="00BC0885">
              <w:rPr>
                <w:rFonts w:eastAsia="Times New Roman" w:cs="Times New Roman"/>
                <w:color w:val="22272F"/>
                <w:sz w:val="24"/>
                <w:szCs w:val="28"/>
                <w:lang w:eastAsia="ru-RU"/>
              </w:rPr>
              <w:t xml:space="preserve"> </w:t>
            </w:r>
            <w:r w:rsidR="00053204">
              <w:rPr>
                <w:rFonts w:eastAsia="Times New Roman" w:cs="Times New Roman"/>
                <w:color w:val="22272F"/>
                <w:sz w:val="24"/>
                <w:szCs w:val="28"/>
                <w:lang w:eastAsia="ru-RU"/>
              </w:rPr>
              <w:t>также в</w:t>
            </w:r>
            <w:r w:rsidR="00035CE0">
              <w:rPr>
                <w:rFonts w:eastAsia="Times New Roman" w:cs="Times New Roman"/>
                <w:color w:val="22272F"/>
                <w:sz w:val="24"/>
                <w:szCs w:val="28"/>
                <w:lang w:eastAsia="ru-RU"/>
              </w:rPr>
              <w:t xml:space="preserve"> </w:t>
            </w:r>
            <w:r w:rsidRPr="00BC0885">
              <w:rPr>
                <w:rFonts w:eastAsia="Times New Roman" w:cs="Times New Roman"/>
                <w:color w:val="22272F"/>
                <w:sz w:val="24"/>
                <w:szCs w:val="28"/>
                <w:lang w:eastAsia="ru-RU"/>
              </w:rPr>
              <w:t xml:space="preserve"> состав координационных, совещательных органов министерства</w:t>
            </w:r>
            <w:r w:rsidR="00053204">
              <w:rPr>
                <w:rFonts w:eastAsia="Times New Roman" w:cs="Times New Roman"/>
                <w:color w:val="22272F"/>
                <w:sz w:val="24"/>
                <w:szCs w:val="28"/>
                <w:lang w:eastAsia="ru-RU"/>
              </w:rPr>
              <w:t>:</w:t>
            </w:r>
            <w:r w:rsidRPr="00BC0885">
              <w:rPr>
                <w:rFonts w:eastAsia="Times New Roman" w:cs="Times New Roman"/>
                <w:color w:val="22272F"/>
                <w:sz w:val="24"/>
                <w:szCs w:val="28"/>
                <w:lang w:eastAsia="ru-RU"/>
              </w:rPr>
              <w:t xml:space="preserve"> конкурсных комиссий по замещению вакантных должностей государственной гражданской службы министерства, по проведению отбора получателей субсидий (грантов)</w:t>
            </w:r>
            <w:r w:rsidR="00035CE0">
              <w:rPr>
                <w:rFonts w:eastAsia="Times New Roman" w:cs="Times New Roman"/>
                <w:color w:val="22272F"/>
                <w:sz w:val="24"/>
                <w:szCs w:val="28"/>
                <w:lang w:eastAsia="ru-RU"/>
              </w:rPr>
              <w:t xml:space="preserve"> </w:t>
            </w:r>
            <w:r w:rsidR="00053204">
              <w:rPr>
                <w:rFonts w:eastAsia="Times New Roman" w:cs="Times New Roman"/>
                <w:color w:val="22272F"/>
                <w:sz w:val="24"/>
                <w:szCs w:val="28"/>
                <w:lang w:eastAsia="ru-RU"/>
              </w:rPr>
              <w:t>и др.</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30.</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5.1. 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color w:val="22272F"/>
                <w:sz w:val="24"/>
                <w:szCs w:val="28"/>
                <w:lang w:eastAsia="ru-RU"/>
              </w:rPr>
              <w:t xml:space="preserve">За отчетный период в действиях </w:t>
            </w:r>
            <w:r w:rsidRPr="00BC0885">
              <w:rPr>
                <w:rFonts w:eastAsia="Times New Roman" w:cs="Times New Roman"/>
                <w:sz w:val="24"/>
                <w:szCs w:val="28"/>
                <w:lang w:eastAsia="ru-RU"/>
              </w:rPr>
              <w:t xml:space="preserve">должностных лиц министерства коррупционных правонарушений в части соблюдения положений административных регламентов предоставления государственных услуг не выявлено.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u w:val="single"/>
                <w:lang w:eastAsia="ru-RU"/>
              </w:rPr>
            </w:pPr>
            <w:r w:rsidRPr="00BC0885">
              <w:rPr>
                <w:rFonts w:eastAsia="Times New Roman" w:cs="Times New Roman"/>
                <w:sz w:val="24"/>
                <w:szCs w:val="24"/>
                <w:lang w:eastAsia="ru-RU"/>
              </w:rPr>
              <w:t>31.</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color w:val="000000"/>
                <w:sz w:val="24"/>
                <w:szCs w:val="24"/>
                <w:lang w:eastAsia="ru-RU"/>
              </w:rPr>
              <w:t xml:space="preserve">5.3. 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требованиями, установленными </w:t>
            </w:r>
            <w:hyperlink r:id="rId8" w:history="1">
              <w:r w:rsidRPr="00BC0885">
                <w:rPr>
                  <w:rFonts w:eastAsia="Times New Roman" w:cs="Times New Roman CYR"/>
                  <w:color w:val="000000"/>
                  <w:sz w:val="24"/>
                  <w:szCs w:val="24"/>
                  <w:lang w:eastAsia="ru-RU"/>
                </w:rPr>
                <w:t>приказом</w:t>
              </w:r>
            </w:hyperlink>
            <w:r w:rsidRPr="00BC0885">
              <w:rPr>
                <w:rFonts w:eastAsia="Times New Roman" w:cs="Times New Roman"/>
                <w:color w:val="000000"/>
                <w:sz w:val="24"/>
                <w:szCs w:val="24"/>
                <w:lang w:eastAsia="ru-RU"/>
              </w:rPr>
              <w:t xml:space="preserve">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w:t>
            </w:r>
            <w:hyperlink r:id="rId9" w:history="1">
              <w:r w:rsidRPr="00BC0885">
                <w:rPr>
                  <w:rFonts w:eastAsia="Times New Roman" w:cs="Times New Roman CYR"/>
                  <w:color w:val="000000"/>
                  <w:sz w:val="24"/>
                  <w:szCs w:val="24"/>
                  <w:lang w:eastAsia="ru-RU"/>
                </w:rPr>
                <w:t>Центрального банка</w:t>
              </w:r>
            </w:hyperlink>
            <w:r w:rsidRPr="00BC0885">
              <w:rPr>
                <w:rFonts w:eastAsia="Times New Roman" w:cs="Times New Roman"/>
                <w:color w:val="000000"/>
                <w:sz w:val="24"/>
                <w:szCs w:val="24"/>
                <w:lang w:eastAsia="ru-RU"/>
              </w:rPr>
              <w:t xml:space="preserve"> Российской Федерации, </w:t>
            </w:r>
            <w:hyperlink r:id="rId10" w:history="1">
              <w:r w:rsidRPr="00BC0885">
                <w:rPr>
                  <w:rFonts w:eastAsia="Times New Roman" w:cs="Times New Roman CYR"/>
                  <w:color w:val="000000"/>
                  <w:sz w:val="24"/>
                  <w:szCs w:val="24"/>
                  <w:lang w:eastAsia="ru-RU"/>
                </w:rPr>
                <w:t>Пенсионного фонда</w:t>
              </w:r>
            </w:hyperlink>
            <w:r w:rsidRPr="00BC0885">
              <w:rPr>
                <w:rFonts w:eastAsia="Times New Roman" w:cs="Times New Roman"/>
                <w:color w:val="000000"/>
                <w:sz w:val="24"/>
                <w:szCs w:val="24"/>
                <w:lang w:eastAsia="ru-RU"/>
              </w:rPr>
              <w:t xml:space="preserve"> Российской Федерации, </w:t>
            </w:r>
            <w:hyperlink r:id="rId11" w:history="1">
              <w:r w:rsidRPr="00BC0885">
                <w:rPr>
                  <w:rFonts w:eastAsia="Times New Roman" w:cs="Times New Roman CYR"/>
                  <w:color w:val="000000"/>
                  <w:sz w:val="24"/>
                  <w:szCs w:val="24"/>
                  <w:lang w:eastAsia="ru-RU"/>
                </w:rPr>
                <w:t>Фонда социального страхования</w:t>
              </w:r>
            </w:hyperlink>
            <w:r w:rsidRPr="00BC0885">
              <w:rPr>
                <w:rFonts w:eastAsia="Times New Roman" w:cs="Times New Roman"/>
                <w:color w:val="000000"/>
                <w:sz w:val="24"/>
                <w:szCs w:val="24"/>
                <w:lang w:eastAsia="ru-RU"/>
              </w:rPr>
              <w:t xml:space="preserve"> Российской Федерации, </w:t>
            </w:r>
            <w:hyperlink r:id="rId12" w:history="1">
              <w:r w:rsidRPr="00BC0885">
                <w:rPr>
                  <w:rFonts w:eastAsia="Times New Roman" w:cs="Times New Roman CYR"/>
                  <w:color w:val="000000"/>
                  <w:sz w:val="24"/>
                  <w:szCs w:val="24"/>
                  <w:lang w:eastAsia="ru-RU"/>
                </w:rPr>
                <w:t>Федерального фонда обязательного медицинского страхования</w:t>
              </w:r>
            </w:hyperlink>
            <w:r w:rsidRPr="00BC0885">
              <w:rPr>
                <w:rFonts w:eastAsia="Times New Roman" w:cs="Times New Roman"/>
                <w:color w:val="000000"/>
                <w:sz w:val="24"/>
                <w:szCs w:val="24"/>
                <w:lang w:eastAsia="ru-RU"/>
              </w:rPr>
              <w:t>,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6379"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color w:val="000000"/>
                <w:sz w:val="24"/>
                <w:szCs w:val="24"/>
                <w:lang w:eastAsia="ru-RU"/>
              </w:rPr>
              <w:lastRenderedPageBreak/>
              <w:t>Наполнение подраздела «Противодействие коррупции» официального сайта министерства осуществляется в соответствии с требованиями действующего законодательства.</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32.</w:t>
            </w:r>
          </w:p>
        </w:tc>
        <w:tc>
          <w:tcPr>
            <w:tcW w:w="6095" w:type="dxa"/>
            <w:shd w:val="clear" w:color="auto" w:fill="auto"/>
          </w:tcPr>
          <w:p w:rsidR="00BC0885" w:rsidRPr="00BC0885" w:rsidRDefault="00BC0885" w:rsidP="00BC0885">
            <w:pPr>
              <w:jc w:val="both"/>
              <w:rPr>
                <w:rFonts w:eastAsia="Times New Roman" w:cs="Times New Roman"/>
                <w:color w:val="000000"/>
                <w:sz w:val="24"/>
                <w:szCs w:val="24"/>
                <w:lang w:eastAsia="ru-RU"/>
              </w:rPr>
            </w:pPr>
            <w:r w:rsidRPr="00BC0885">
              <w:rPr>
                <w:rFonts w:eastAsia="Times New Roman" w:cs="Times New Roman"/>
                <w:color w:val="000000"/>
                <w:sz w:val="24"/>
                <w:szCs w:val="24"/>
                <w:lang w:eastAsia="ru-RU"/>
              </w:rPr>
              <w:t>5.4.</w:t>
            </w:r>
            <w:r w:rsidRPr="00BC0885">
              <w:rPr>
                <w:rFonts w:eastAsia="Times New Roman" w:cs="Times New Roman"/>
                <w:sz w:val="24"/>
                <w:szCs w:val="24"/>
                <w:lang w:eastAsia="ru-RU"/>
              </w:rPr>
              <w:t xml:space="preserve"> </w:t>
            </w:r>
            <w:r w:rsidRPr="00BC0885">
              <w:rPr>
                <w:rFonts w:eastAsia="Times New Roman" w:cs="Times New Roman"/>
                <w:color w:val="000000"/>
                <w:sz w:val="24"/>
                <w:szCs w:val="24"/>
                <w:lang w:eastAsia="ru-RU"/>
              </w:rPr>
              <w:t>Обеспечение рассмотрения отчета о выполнении плана (программы) противодействия коррупции на Комиссии по противодействии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6379" w:type="dxa"/>
            <w:shd w:val="clear" w:color="auto" w:fill="auto"/>
          </w:tcPr>
          <w:p w:rsidR="00BC0885" w:rsidRPr="00BC0885" w:rsidRDefault="00BC0885" w:rsidP="00BC0885">
            <w:pPr>
              <w:jc w:val="both"/>
              <w:rPr>
                <w:rFonts w:eastAsia="Times New Roman" w:cs="Times New Roman"/>
                <w:color w:val="000000"/>
                <w:sz w:val="24"/>
                <w:szCs w:val="24"/>
                <w:lang w:eastAsia="ru-RU"/>
              </w:rPr>
            </w:pPr>
            <w:r w:rsidRPr="00BC0885">
              <w:rPr>
                <w:rFonts w:eastAsia="Times New Roman" w:cs="Times New Roman"/>
                <w:color w:val="000000"/>
                <w:sz w:val="24"/>
                <w:szCs w:val="24"/>
                <w:lang w:eastAsia="ru-RU"/>
              </w:rPr>
              <w:t xml:space="preserve">В соответствии со сроками, установленными государственной программой Республики Дагестан «О противодействии коррупции в Республике Дагестан»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33.</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5.5. 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 xml:space="preserve">Телефонный номер 8(8722) 55-96-40; 51-11-68 по которому все заинтересованные лица могут сообщить о фактах коррупции. Информация о телефоне размещена на официальном сайте министерства </w:t>
            </w:r>
            <w:proofErr w:type="spellStart"/>
            <w:r w:rsidRPr="00BC0885">
              <w:rPr>
                <w:rFonts w:eastAsia="Times New Roman" w:cs="Times New Roman"/>
                <w:sz w:val="24"/>
                <w:szCs w:val="24"/>
                <w:lang w:eastAsia="ru-RU"/>
              </w:rPr>
              <w:t>www</w:t>
            </w:r>
            <w:proofErr w:type="spellEnd"/>
            <w:r w:rsidRPr="00BC0885">
              <w:rPr>
                <w:rFonts w:eastAsia="Times New Roman" w:cs="Times New Roman"/>
                <w:sz w:val="24"/>
                <w:szCs w:val="24"/>
                <w:lang w:eastAsia="ru-RU"/>
              </w:rPr>
              <w:t>.</w:t>
            </w:r>
            <w:proofErr w:type="spellStart"/>
            <w:r w:rsidRPr="00BC0885">
              <w:rPr>
                <w:rFonts w:eastAsia="Times New Roman" w:cs="Times New Roman"/>
                <w:sz w:val="24"/>
                <w:szCs w:val="24"/>
                <w:lang w:val="en-US" w:eastAsia="ru-RU"/>
              </w:rPr>
              <w:t>mcxrd</w:t>
            </w:r>
            <w:proofErr w:type="spellEnd"/>
            <w:r w:rsidRPr="00BC0885">
              <w:rPr>
                <w:rFonts w:eastAsia="Times New Roman" w:cs="Times New Roman"/>
                <w:sz w:val="24"/>
                <w:szCs w:val="24"/>
                <w:lang w:eastAsia="ru-RU"/>
              </w:rPr>
              <w:t>.</w:t>
            </w:r>
            <w:proofErr w:type="spellStart"/>
            <w:r w:rsidRPr="00BC0885">
              <w:rPr>
                <w:rFonts w:eastAsia="Times New Roman" w:cs="Times New Roman"/>
                <w:sz w:val="24"/>
                <w:szCs w:val="24"/>
                <w:lang w:eastAsia="ru-RU"/>
              </w:rPr>
              <w:t>ru</w:t>
            </w:r>
            <w:proofErr w:type="spellEnd"/>
            <w:r w:rsidRPr="00BC0885">
              <w:rPr>
                <w:rFonts w:eastAsia="Times New Roman" w:cs="Times New Roman"/>
                <w:sz w:val="24"/>
                <w:szCs w:val="24"/>
                <w:lang w:eastAsia="ru-RU"/>
              </w:rPr>
              <w:t>.</w:t>
            </w:r>
          </w:p>
          <w:p w:rsidR="00BC0885" w:rsidRPr="00BC0885" w:rsidRDefault="00BC0885" w:rsidP="00BC0885">
            <w:pPr>
              <w:widowControl w:val="0"/>
              <w:jc w:val="both"/>
              <w:rPr>
                <w:rFonts w:eastAsia="Times New Roman" w:cs="Times New Roman"/>
                <w:sz w:val="24"/>
                <w:szCs w:val="24"/>
                <w:u w:val="single"/>
                <w:lang w:eastAsia="ru-RU"/>
              </w:rPr>
            </w:pPr>
            <w:r w:rsidRPr="00BC0885">
              <w:rPr>
                <w:rFonts w:eastAsia="Times New Roman" w:cs="Times New Roman"/>
                <w:sz w:val="24"/>
                <w:szCs w:val="24"/>
                <w:lang w:eastAsia="ru-RU"/>
              </w:rPr>
              <w:t>На проходной в здание министерства установлен «специализированный ящик» для обращения граждан по вопросам коррупции. За отчетный период при вскрытии ящика, в установленном порядке, указанных обращений не обнаружено.</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34.</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5.6. 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p w:rsidR="00BC0885" w:rsidRPr="00BC0885" w:rsidRDefault="00BC0885" w:rsidP="00BC0885">
            <w:pPr>
              <w:jc w:val="both"/>
              <w:rPr>
                <w:rFonts w:eastAsia="Times New Roman" w:cs="Times New Roman"/>
                <w:sz w:val="24"/>
                <w:szCs w:val="24"/>
                <w:u w:val="single"/>
                <w:lang w:eastAsia="ru-RU"/>
              </w:rPr>
            </w:pPr>
          </w:p>
        </w:tc>
        <w:tc>
          <w:tcPr>
            <w:tcW w:w="6379" w:type="dxa"/>
            <w:shd w:val="clear" w:color="auto" w:fill="auto"/>
          </w:tcPr>
          <w:p w:rsidR="00BC0885" w:rsidRPr="00BC0885" w:rsidRDefault="00BC0885" w:rsidP="00BC0885">
            <w:pPr>
              <w:widowControl w:val="0"/>
              <w:jc w:val="both"/>
              <w:rPr>
                <w:rFonts w:eastAsia="Times New Roman" w:cs="Times New Roman"/>
                <w:sz w:val="24"/>
                <w:szCs w:val="28"/>
                <w:lang w:eastAsia="ru-RU"/>
              </w:rPr>
            </w:pPr>
            <w:r w:rsidRPr="00BC0885">
              <w:rPr>
                <w:rFonts w:eastAsia="Times New Roman" w:cs="Times New Roman"/>
                <w:sz w:val="24"/>
                <w:szCs w:val="24"/>
                <w:lang w:eastAsia="ru-RU"/>
              </w:rPr>
              <w:lastRenderedPageBreak/>
              <w:t xml:space="preserve">Проводится постоянный мониторинг информации о коррупционных проявлениях в деятельности должностных лиц министерства, размещенной в средствах массовой информации и содержащейся в поступающих обращениях граждан и юридических лиц. </w:t>
            </w:r>
            <w:r w:rsidRPr="00BC0885">
              <w:rPr>
                <w:rFonts w:eastAsia="Times New Roman" w:cs="Times New Roman"/>
                <w:sz w:val="24"/>
                <w:szCs w:val="28"/>
                <w:lang w:eastAsia="ru-RU"/>
              </w:rPr>
              <w:t xml:space="preserve">Обращений граждан и юридических лиц, содержащих факты коррупционных проявлений, о несоблюдении ограничений, запретов и невыполнении требований о предотвращении и урегулировании конфликта интересов, установленных в целях противодействия коррупции, в том числе через ящик </w:t>
            </w:r>
            <w:r w:rsidRPr="00BC0885">
              <w:rPr>
                <w:rFonts w:eastAsia="Times New Roman" w:cs="Times New Roman"/>
                <w:sz w:val="24"/>
                <w:szCs w:val="28"/>
                <w:lang w:eastAsia="ru-RU"/>
              </w:rPr>
              <w:lastRenderedPageBreak/>
              <w:t xml:space="preserve">«Для обращения граждан по вопросам коррупции», не поступало. Также </w:t>
            </w:r>
            <w:r w:rsidR="00FF6E1C">
              <w:rPr>
                <w:rFonts w:eastAsia="Times New Roman" w:cs="Times New Roman"/>
                <w:sz w:val="24"/>
                <w:szCs w:val="28"/>
                <w:lang w:eastAsia="ru-RU"/>
              </w:rPr>
              <w:t>за отчетный период</w:t>
            </w:r>
            <w:r w:rsidRPr="00BC0885">
              <w:rPr>
                <w:rFonts w:eastAsia="Times New Roman" w:cs="Times New Roman"/>
                <w:sz w:val="24"/>
                <w:szCs w:val="28"/>
                <w:lang w:eastAsia="ru-RU"/>
              </w:rPr>
              <w:t xml:space="preserve"> в средствах массовой информации публикаций о неправомерных действиях должностных лиц министерства отмечено не было</w:t>
            </w:r>
          </w:p>
          <w:p w:rsidR="00BC0885" w:rsidRPr="00BC0885" w:rsidRDefault="00BC0885" w:rsidP="00BC0885">
            <w:pPr>
              <w:widowControl w:val="0"/>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70"/>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35.</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5.6. (1). 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tc>
        <w:tc>
          <w:tcPr>
            <w:tcW w:w="6379" w:type="dxa"/>
            <w:shd w:val="clear" w:color="auto" w:fill="auto"/>
          </w:tcPr>
          <w:p w:rsidR="00BC0885" w:rsidRPr="00BC0885" w:rsidRDefault="00BC0885" w:rsidP="00BC0885">
            <w:pPr>
              <w:autoSpaceDE w:val="0"/>
              <w:autoSpaceDN w:val="0"/>
              <w:adjustRightInd w:val="0"/>
              <w:ind w:left="34"/>
              <w:jc w:val="both"/>
              <w:rPr>
                <w:rFonts w:eastAsia="Times New Roman" w:cs="Times New Roman"/>
                <w:sz w:val="24"/>
                <w:szCs w:val="24"/>
                <w:lang w:eastAsia="ru-RU"/>
              </w:rPr>
            </w:pPr>
            <w:r w:rsidRPr="00BC0885">
              <w:rPr>
                <w:rFonts w:eastAsia="Times New Roman" w:cs="Times New Roman"/>
                <w:sz w:val="24"/>
                <w:szCs w:val="24"/>
                <w:lang w:eastAsia="ru-RU"/>
              </w:rPr>
              <w:t xml:space="preserve">В </w:t>
            </w:r>
            <w:r w:rsidR="00154027">
              <w:rPr>
                <w:rFonts w:eastAsia="Times New Roman" w:cs="Times New Roman"/>
                <w:sz w:val="24"/>
                <w:szCs w:val="24"/>
                <w:lang w:eastAsia="ru-RU"/>
              </w:rPr>
              <w:t>1 полугодии 2023</w:t>
            </w:r>
            <w:r w:rsidRPr="00BC0885">
              <w:rPr>
                <w:rFonts w:eastAsia="Times New Roman" w:cs="Times New Roman"/>
                <w:sz w:val="24"/>
                <w:szCs w:val="24"/>
                <w:lang w:eastAsia="ru-RU"/>
              </w:rPr>
              <w:t xml:space="preserve"> год</w:t>
            </w:r>
            <w:r w:rsidR="00154027">
              <w:rPr>
                <w:rFonts w:eastAsia="Times New Roman" w:cs="Times New Roman"/>
                <w:sz w:val="24"/>
                <w:szCs w:val="24"/>
                <w:lang w:eastAsia="ru-RU"/>
              </w:rPr>
              <w:t>а</w:t>
            </w:r>
            <w:r w:rsidRPr="00BC0885">
              <w:rPr>
                <w:rFonts w:eastAsia="Times New Roman" w:cs="Times New Roman"/>
                <w:sz w:val="24"/>
                <w:szCs w:val="24"/>
                <w:lang w:eastAsia="ru-RU"/>
              </w:rPr>
              <w:t xml:space="preserve"> в Ми</w:t>
            </w:r>
            <w:r w:rsidRPr="00BC0885">
              <w:rPr>
                <w:rFonts w:eastAsia="Times New Roman" w:cs="Times New Roman"/>
                <w:sz w:val="24"/>
                <w:szCs w:val="24"/>
                <w:lang w:eastAsia="ru-RU"/>
              </w:rPr>
              <w:softHyphen/>
              <w:t>ни</w:t>
            </w:r>
            <w:r w:rsidRPr="00BC0885">
              <w:rPr>
                <w:rFonts w:eastAsia="Times New Roman" w:cs="Times New Roman"/>
                <w:sz w:val="24"/>
                <w:szCs w:val="24"/>
                <w:lang w:eastAsia="ru-RU"/>
              </w:rPr>
              <w:softHyphen/>
              <w:t>стер</w:t>
            </w:r>
            <w:r w:rsidRPr="00BC0885">
              <w:rPr>
                <w:rFonts w:eastAsia="Times New Roman" w:cs="Times New Roman"/>
                <w:sz w:val="24"/>
                <w:szCs w:val="24"/>
                <w:lang w:eastAsia="ru-RU"/>
              </w:rPr>
              <w:softHyphen/>
              <w:t>ство обращения граж</w:t>
            </w:r>
            <w:r w:rsidRPr="00BC0885">
              <w:rPr>
                <w:rFonts w:eastAsia="Times New Roman" w:cs="Times New Roman"/>
                <w:sz w:val="24"/>
                <w:szCs w:val="24"/>
                <w:lang w:eastAsia="ru-RU"/>
              </w:rPr>
              <w:softHyphen/>
              <w:t>дан и организаций по фактам коррупции не поступали. Проведён</w:t>
            </w:r>
            <w:r w:rsidRPr="00BC0885">
              <w:rPr>
                <w:rFonts w:eastAsia="Times New Roman" w:cs="Times New Roman"/>
                <w:sz w:val="24"/>
                <w:szCs w:val="24"/>
                <w:lang w:eastAsia="ru-RU"/>
              </w:rPr>
              <w:softHyphen/>
              <w:t>ный ана</w:t>
            </w:r>
            <w:r w:rsidRPr="00BC0885">
              <w:rPr>
                <w:rFonts w:eastAsia="Times New Roman" w:cs="Times New Roman"/>
                <w:sz w:val="24"/>
                <w:szCs w:val="24"/>
                <w:lang w:eastAsia="ru-RU"/>
              </w:rPr>
              <w:softHyphen/>
              <w:t>лиз фак</w:t>
            </w:r>
            <w:r w:rsidRPr="00BC0885">
              <w:rPr>
                <w:rFonts w:eastAsia="Times New Roman" w:cs="Times New Roman"/>
                <w:sz w:val="24"/>
                <w:szCs w:val="24"/>
                <w:lang w:eastAsia="ru-RU"/>
              </w:rPr>
              <w:softHyphen/>
              <w:t>тов несо</w:t>
            </w:r>
            <w:r w:rsidRPr="00BC0885">
              <w:rPr>
                <w:rFonts w:eastAsia="Times New Roman" w:cs="Times New Roman"/>
                <w:sz w:val="24"/>
                <w:szCs w:val="24"/>
                <w:lang w:eastAsia="ru-RU"/>
              </w:rPr>
              <w:softHyphen/>
              <w:t>блю</w:t>
            </w:r>
            <w:r w:rsidRPr="00BC0885">
              <w:rPr>
                <w:rFonts w:eastAsia="Times New Roman" w:cs="Times New Roman"/>
                <w:sz w:val="24"/>
                <w:szCs w:val="24"/>
                <w:lang w:eastAsia="ru-RU"/>
              </w:rPr>
              <w:softHyphen/>
              <w:t>де</w:t>
            </w:r>
            <w:r w:rsidRPr="00BC0885">
              <w:rPr>
                <w:rFonts w:eastAsia="Times New Roman" w:cs="Times New Roman"/>
                <w:sz w:val="24"/>
                <w:szCs w:val="24"/>
                <w:lang w:eastAsia="ru-RU"/>
              </w:rPr>
              <w:softHyphen/>
              <w:t>ния государственны</w:t>
            </w:r>
            <w:r w:rsidRPr="00BC0885">
              <w:rPr>
                <w:rFonts w:eastAsia="Times New Roman" w:cs="Times New Roman"/>
                <w:sz w:val="24"/>
                <w:szCs w:val="24"/>
                <w:lang w:eastAsia="ru-RU"/>
              </w:rPr>
              <w:softHyphen/>
              <w:t>ми граждански</w:t>
            </w:r>
            <w:r w:rsidRPr="00BC0885">
              <w:rPr>
                <w:rFonts w:eastAsia="Times New Roman" w:cs="Times New Roman"/>
                <w:sz w:val="24"/>
                <w:szCs w:val="24"/>
                <w:lang w:eastAsia="ru-RU"/>
              </w:rPr>
              <w:softHyphen/>
              <w:t>ми служа</w:t>
            </w:r>
            <w:r w:rsidRPr="00BC0885">
              <w:rPr>
                <w:rFonts w:eastAsia="Times New Roman" w:cs="Times New Roman"/>
                <w:sz w:val="24"/>
                <w:szCs w:val="24"/>
                <w:lang w:eastAsia="ru-RU"/>
              </w:rPr>
              <w:softHyphen/>
              <w:t>щи</w:t>
            </w:r>
            <w:r w:rsidRPr="00BC0885">
              <w:rPr>
                <w:rFonts w:eastAsia="Times New Roman" w:cs="Times New Roman"/>
                <w:sz w:val="24"/>
                <w:szCs w:val="24"/>
                <w:lang w:eastAsia="ru-RU"/>
              </w:rPr>
              <w:softHyphen/>
              <w:t>ми Ми</w:t>
            </w:r>
            <w:r w:rsidRPr="00BC0885">
              <w:rPr>
                <w:rFonts w:eastAsia="Times New Roman" w:cs="Times New Roman"/>
                <w:sz w:val="24"/>
                <w:szCs w:val="24"/>
                <w:lang w:eastAsia="ru-RU"/>
              </w:rPr>
              <w:softHyphen/>
              <w:t>ни</w:t>
            </w:r>
            <w:r w:rsidRPr="00BC0885">
              <w:rPr>
                <w:rFonts w:eastAsia="Times New Roman" w:cs="Times New Roman"/>
                <w:sz w:val="24"/>
                <w:szCs w:val="24"/>
                <w:lang w:eastAsia="ru-RU"/>
              </w:rPr>
              <w:softHyphen/>
              <w:t>стер</w:t>
            </w:r>
            <w:r w:rsidRPr="00BC0885">
              <w:rPr>
                <w:rFonts w:eastAsia="Times New Roman" w:cs="Times New Roman"/>
                <w:sz w:val="24"/>
                <w:szCs w:val="24"/>
                <w:lang w:eastAsia="ru-RU"/>
              </w:rPr>
              <w:softHyphen/>
              <w:t>ства сельского хозяйства и продовольствия Республики Дагестан тре</w:t>
            </w:r>
            <w:r w:rsidRPr="00BC0885">
              <w:rPr>
                <w:rFonts w:eastAsia="Times New Roman" w:cs="Times New Roman"/>
                <w:sz w:val="24"/>
                <w:szCs w:val="24"/>
                <w:lang w:eastAsia="ru-RU"/>
              </w:rPr>
              <w:softHyphen/>
              <w:t>бо</w:t>
            </w:r>
            <w:r w:rsidRPr="00BC0885">
              <w:rPr>
                <w:rFonts w:eastAsia="Times New Roman" w:cs="Times New Roman"/>
                <w:sz w:val="24"/>
                <w:szCs w:val="24"/>
                <w:lang w:eastAsia="ru-RU"/>
              </w:rPr>
              <w:softHyphen/>
              <w:t>ва</w:t>
            </w:r>
            <w:r w:rsidRPr="00BC0885">
              <w:rPr>
                <w:rFonts w:eastAsia="Times New Roman" w:cs="Times New Roman"/>
                <w:sz w:val="24"/>
                <w:szCs w:val="24"/>
                <w:lang w:eastAsia="ru-RU"/>
              </w:rPr>
              <w:softHyphen/>
              <w:t>ний к слу</w:t>
            </w:r>
            <w:r w:rsidRPr="00BC0885">
              <w:rPr>
                <w:rFonts w:eastAsia="Times New Roman" w:cs="Times New Roman"/>
                <w:sz w:val="24"/>
                <w:szCs w:val="24"/>
                <w:lang w:eastAsia="ru-RU"/>
              </w:rPr>
              <w:softHyphen/>
              <w:t>жеб</w:t>
            </w:r>
            <w:r w:rsidRPr="00BC0885">
              <w:rPr>
                <w:rFonts w:eastAsia="Times New Roman" w:cs="Times New Roman"/>
                <w:sz w:val="24"/>
                <w:szCs w:val="24"/>
                <w:lang w:eastAsia="ru-RU"/>
              </w:rPr>
              <w:softHyphen/>
              <w:t>но</w:t>
            </w:r>
            <w:r w:rsidRPr="00BC0885">
              <w:rPr>
                <w:rFonts w:eastAsia="Times New Roman" w:cs="Times New Roman"/>
                <w:sz w:val="24"/>
                <w:szCs w:val="24"/>
                <w:lang w:eastAsia="ru-RU"/>
              </w:rPr>
              <w:softHyphen/>
              <w:t>му по</w:t>
            </w:r>
            <w:r w:rsidRPr="00BC0885">
              <w:rPr>
                <w:rFonts w:eastAsia="Times New Roman" w:cs="Times New Roman"/>
                <w:sz w:val="24"/>
                <w:szCs w:val="24"/>
                <w:lang w:eastAsia="ru-RU"/>
              </w:rPr>
              <w:softHyphen/>
              <w:t>ве</w:t>
            </w:r>
            <w:r w:rsidRPr="00BC0885">
              <w:rPr>
                <w:rFonts w:eastAsia="Times New Roman" w:cs="Times New Roman"/>
                <w:sz w:val="24"/>
                <w:szCs w:val="24"/>
                <w:lang w:eastAsia="ru-RU"/>
              </w:rPr>
              <w:softHyphen/>
              <w:t>де</w:t>
            </w:r>
            <w:r w:rsidRPr="00BC0885">
              <w:rPr>
                <w:rFonts w:eastAsia="Times New Roman" w:cs="Times New Roman"/>
                <w:sz w:val="24"/>
                <w:szCs w:val="24"/>
                <w:lang w:eastAsia="ru-RU"/>
              </w:rPr>
              <w:softHyphen/>
              <w:t>нию и возник</w:t>
            </w:r>
            <w:r w:rsidRPr="00BC0885">
              <w:rPr>
                <w:rFonts w:eastAsia="Times New Roman" w:cs="Times New Roman"/>
                <w:sz w:val="24"/>
                <w:szCs w:val="24"/>
                <w:lang w:eastAsia="ru-RU"/>
              </w:rPr>
              <w:softHyphen/>
              <w:t>но</w:t>
            </w:r>
            <w:r w:rsidRPr="00BC0885">
              <w:rPr>
                <w:rFonts w:eastAsia="Times New Roman" w:cs="Times New Roman"/>
                <w:sz w:val="24"/>
                <w:szCs w:val="24"/>
                <w:lang w:eastAsia="ru-RU"/>
              </w:rPr>
              <w:softHyphen/>
              <w:t>ве</w:t>
            </w:r>
            <w:r w:rsidRPr="00BC0885">
              <w:rPr>
                <w:rFonts w:eastAsia="Times New Roman" w:cs="Times New Roman"/>
                <w:sz w:val="24"/>
                <w:szCs w:val="24"/>
                <w:lang w:eastAsia="ru-RU"/>
              </w:rPr>
              <w:softHyphen/>
              <w:t>ния конфлик</w:t>
            </w:r>
            <w:r w:rsidRPr="00BC0885">
              <w:rPr>
                <w:rFonts w:eastAsia="Times New Roman" w:cs="Times New Roman"/>
                <w:sz w:val="24"/>
                <w:szCs w:val="24"/>
                <w:lang w:eastAsia="ru-RU"/>
              </w:rPr>
              <w:softHyphen/>
              <w:t>та интересов не вы</w:t>
            </w:r>
            <w:r w:rsidRPr="00BC0885">
              <w:rPr>
                <w:rFonts w:eastAsia="Times New Roman" w:cs="Times New Roman"/>
                <w:sz w:val="24"/>
                <w:szCs w:val="24"/>
                <w:lang w:eastAsia="ru-RU"/>
              </w:rPr>
              <w:softHyphen/>
              <w:t>явил</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36.</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5.7. 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autoSpaceDE w:val="0"/>
              <w:autoSpaceDN w:val="0"/>
              <w:adjustRightInd w:val="0"/>
              <w:ind w:left="34"/>
              <w:jc w:val="both"/>
              <w:rPr>
                <w:rFonts w:eastAsia="Times New Roman" w:cs="Times New Roman"/>
                <w:sz w:val="24"/>
                <w:szCs w:val="28"/>
                <w:lang w:eastAsia="ru-RU"/>
              </w:rPr>
            </w:pPr>
            <w:r w:rsidRPr="00BC0885">
              <w:rPr>
                <w:rFonts w:eastAsia="Times New Roman" w:cs="Times New Roman"/>
                <w:sz w:val="24"/>
                <w:szCs w:val="24"/>
                <w:lang w:eastAsia="ru-RU"/>
              </w:rPr>
              <w:t>На официальном сайте Министерства в разделе «Пресс-центр» размещается информация о проводимых мероприятиях, пресс-релизы, материалы СМИ, фото- и видеорепортажи, а также в ленте новостей и других разделах сайта размещается информация о проводимых мероприятиях и деятельности Минсельхозпрода РД, в том числе по противодействию коррупции.</w:t>
            </w:r>
            <w:r w:rsidRPr="00BC0885">
              <w:rPr>
                <w:rFonts w:eastAsia="Times New Roman" w:cs="Times New Roman"/>
                <w:sz w:val="24"/>
                <w:szCs w:val="28"/>
                <w:lang w:eastAsia="ru-RU"/>
              </w:rPr>
              <w:t xml:space="preserve"> Ведутся аккаунты в социальных сетях, таких как Одноклассники, </w:t>
            </w:r>
            <w:proofErr w:type="spellStart"/>
            <w:r w:rsidRPr="00BC0885">
              <w:rPr>
                <w:rFonts w:eastAsia="Times New Roman" w:cs="Times New Roman"/>
                <w:sz w:val="24"/>
                <w:szCs w:val="28"/>
                <w:lang w:eastAsia="ru-RU"/>
              </w:rPr>
              <w:t>Вконтакте</w:t>
            </w:r>
            <w:proofErr w:type="spellEnd"/>
            <w:r w:rsidRPr="00BC0885">
              <w:rPr>
                <w:rFonts w:eastAsia="Times New Roman" w:cs="Times New Roman"/>
                <w:sz w:val="24"/>
                <w:szCs w:val="28"/>
                <w:lang w:eastAsia="ru-RU"/>
              </w:rPr>
              <w:t xml:space="preserve"> и </w:t>
            </w:r>
            <w:r w:rsidRPr="00BC0885">
              <w:rPr>
                <w:rFonts w:eastAsia="Times New Roman" w:cs="Times New Roman"/>
                <w:sz w:val="24"/>
                <w:szCs w:val="28"/>
                <w:lang w:val="en-US" w:eastAsia="ru-RU"/>
              </w:rPr>
              <w:t>Telegram</w:t>
            </w:r>
            <w:r w:rsidRPr="00BC0885">
              <w:rPr>
                <w:rFonts w:eastAsia="Times New Roman" w:cs="Times New Roman"/>
                <w:sz w:val="24"/>
                <w:szCs w:val="28"/>
                <w:lang w:eastAsia="ru-RU"/>
              </w:rPr>
              <w:t xml:space="preserve">. </w:t>
            </w:r>
          </w:p>
          <w:p w:rsidR="00BC0885" w:rsidRPr="00BC0885" w:rsidRDefault="00BC0885" w:rsidP="00BC0885">
            <w:pPr>
              <w:autoSpaceDE w:val="0"/>
              <w:autoSpaceDN w:val="0"/>
              <w:adjustRightInd w:val="0"/>
              <w:ind w:left="34"/>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37.</w:t>
            </w:r>
          </w:p>
        </w:tc>
        <w:tc>
          <w:tcPr>
            <w:tcW w:w="6095"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5.8. 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p w:rsidR="00BC0885" w:rsidRPr="00BC0885" w:rsidRDefault="00BC0885" w:rsidP="00BC0885">
            <w:pPr>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 xml:space="preserve">Состав Общественного совета при Министерстве сельского и продовольствия Республики Дагестан сформирован с учетом требования действующего законодательства, в его состав не входят должностные лица министерства. </w:t>
            </w:r>
          </w:p>
          <w:p w:rsidR="00BC0885" w:rsidRPr="00BC0885" w:rsidRDefault="00BC0885" w:rsidP="00BC0885">
            <w:pPr>
              <w:jc w:val="both"/>
              <w:rPr>
                <w:rFonts w:eastAsia="Times New Roman" w:cs="Times New Roman"/>
                <w:sz w:val="24"/>
                <w:szCs w:val="24"/>
                <w:lang w:eastAsia="ru-RU"/>
              </w:rPr>
            </w:pPr>
          </w:p>
          <w:p w:rsidR="00BC0885" w:rsidRPr="00BC0885" w:rsidRDefault="00BC0885" w:rsidP="00BC0885">
            <w:pPr>
              <w:jc w:val="both"/>
              <w:rPr>
                <w:rFonts w:eastAsia="Times New Roman" w:cs="Times New Roman"/>
                <w:sz w:val="24"/>
                <w:szCs w:val="24"/>
                <w:lang w:eastAsia="ru-RU"/>
              </w:rPr>
            </w:pPr>
          </w:p>
          <w:p w:rsidR="00BC0885" w:rsidRPr="00BC0885" w:rsidRDefault="00BC0885" w:rsidP="00BC0885">
            <w:pPr>
              <w:jc w:val="both"/>
              <w:rPr>
                <w:rFonts w:eastAsia="Times New Roman" w:cs="Times New Roman"/>
                <w:sz w:val="24"/>
                <w:szCs w:val="24"/>
                <w:lang w:eastAsia="ru-RU"/>
              </w:rPr>
            </w:pPr>
          </w:p>
          <w:p w:rsidR="00BC0885" w:rsidRPr="00BC0885" w:rsidRDefault="00BC0885" w:rsidP="00BC0885">
            <w:pPr>
              <w:jc w:val="both"/>
              <w:rPr>
                <w:rFonts w:eastAsia="Times New Roman" w:cs="Times New Roman"/>
                <w:sz w:val="24"/>
                <w:szCs w:val="24"/>
                <w:lang w:eastAsia="ru-RU"/>
              </w:rPr>
            </w:pP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lastRenderedPageBreak/>
              <w:t>38.</w:t>
            </w:r>
          </w:p>
        </w:tc>
        <w:tc>
          <w:tcPr>
            <w:tcW w:w="6095" w:type="dxa"/>
            <w:shd w:val="clear" w:color="auto" w:fill="auto"/>
          </w:tcPr>
          <w:p w:rsidR="00BC0885" w:rsidRPr="00BC0885" w:rsidRDefault="00BC0885" w:rsidP="00BC0885">
            <w:pPr>
              <w:jc w:val="both"/>
              <w:rPr>
                <w:rFonts w:eastAsia="Times New Roman" w:cs="Times New Roman"/>
                <w:sz w:val="24"/>
                <w:szCs w:val="24"/>
                <w:u w:val="single"/>
                <w:lang w:eastAsia="ru-RU"/>
              </w:rPr>
            </w:pPr>
            <w:r w:rsidRPr="00BC0885">
              <w:rPr>
                <w:rFonts w:eastAsia="Times New Roman" w:cs="Times New Roman"/>
                <w:sz w:val="24"/>
                <w:szCs w:val="24"/>
                <w:lang w:eastAsia="ru-RU"/>
              </w:rPr>
              <w:t>5.10.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6379" w:type="dxa"/>
            <w:shd w:val="clear" w:color="auto" w:fill="auto"/>
          </w:tcPr>
          <w:p w:rsidR="00BC0885" w:rsidRPr="00BC0885" w:rsidRDefault="00BC0885" w:rsidP="00BC0885">
            <w:pPr>
              <w:jc w:val="both"/>
              <w:rPr>
                <w:rFonts w:eastAsia="Times New Roman" w:cs="Times New Roman"/>
                <w:sz w:val="24"/>
                <w:szCs w:val="24"/>
                <w:lang w:eastAsia="ru-RU"/>
              </w:rPr>
            </w:pPr>
            <w:r w:rsidRPr="00BC0885">
              <w:rPr>
                <w:rFonts w:eastAsia="Times New Roman" w:cs="Times New Roman"/>
                <w:sz w:val="24"/>
                <w:szCs w:val="24"/>
                <w:lang w:eastAsia="ru-RU"/>
              </w:rPr>
              <w:t>Обновление и поддержание в актуальном состоянии специальных информационных стендов осуществляется на постоянной основе по мере необходимости.</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39.</w:t>
            </w:r>
          </w:p>
        </w:tc>
        <w:tc>
          <w:tcPr>
            <w:tcW w:w="6095" w:type="dxa"/>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6.1. 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p w:rsidR="00BC0885" w:rsidRPr="00BC0885" w:rsidRDefault="00BC0885" w:rsidP="00BC0885">
            <w:pPr>
              <w:jc w:val="left"/>
              <w:rPr>
                <w:rFonts w:eastAsia="Times New Roman" w:cs="Times New Roman"/>
                <w:sz w:val="24"/>
                <w:szCs w:val="24"/>
                <w:lang w:eastAsia="ru-RU"/>
              </w:rPr>
            </w:pPr>
          </w:p>
        </w:tc>
        <w:tc>
          <w:tcPr>
            <w:tcW w:w="6379" w:type="dxa"/>
            <w:shd w:val="clear" w:color="auto" w:fill="auto"/>
          </w:tcPr>
          <w:p w:rsidR="00BC0885" w:rsidRPr="00BC0885" w:rsidRDefault="00BC0885" w:rsidP="00BC0885">
            <w:pPr>
              <w:widowControl w:val="0"/>
              <w:jc w:val="both"/>
              <w:rPr>
                <w:rFonts w:eastAsia="Times New Roman" w:cs="Times New Roman"/>
                <w:sz w:val="24"/>
                <w:szCs w:val="24"/>
                <w:u w:val="single"/>
                <w:lang w:eastAsia="ru-RU"/>
              </w:rPr>
            </w:pPr>
            <w:r w:rsidRPr="00BC0885">
              <w:rPr>
                <w:rFonts w:eastAsia="Times New Roman" w:cs="Times New Roman"/>
                <w:sz w:val="24"/>
                <w:szCs w:val="24"/>
                <w:lang w:eastAsia="ru-RU"/>
              </w:rPr>
              <w:t>В соответствии с законодательством Министерство публикует план-графики закупок путем размещения на общероссийском официальном сайте www.zakupki.gov.ru</w:t>
            </w:r>
            <w:r w:rsidR="00154027">
              <w:rPr>
                <w:rFonts w:eastAsia="Times New Roman" w:cs="Times New Roman"/>
                <w:sz w:val="24"/>
                <w:szCs w:val="24"/>
                <w:lang w:eastAsia="ru-RU"/>
              </w:rPr>
              <w:t xml:space="preserve">, </w:t>
            </w:r>
            <w:r w:rsidR="00154027">
              <w:rPr>
                <w:rFonts w:eastAsia="Times New Roman" w:cs="Times New Roman"/>
                <w:sz w:val="24"/>
                <w:szCs w:val="24"/>
                <w:lang w:eastAsia="ru-RU"/>
              </w:rPr>
              <w:t>все торги проводятся на электронной площадке</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40.</w:t>
            </w:r>
          </w:p>
        </w:tc>
        <w:tc>
          <w:tcPr>
            <w:tcW w:w="6095" w:type="dxa"/>
            <w:shd w:val="clear" w:color="auto" w:fill="auto"/>
          </w:tcPr>
          <w:p w:rsidR="00BC0885" w:rsidRPr="00BC0885" w:rsidRDefault="00BC0885" w:rsidP="00BC0885">
            <w:pPr>
              <w:autoSpaceDE w:val="0"/>
              <w:autoSpaceDN w:val="0"/>
              <w:adjustRightInd w:val="0"/>
              <w:jc w:val="both"/>
              <w:rPr>
                <w:rFonts w:ascii="Times New Roman CYR" w:eastAsia="Times New Roman" w:hAnsi="Times New Roman CYR" w:cs="Times New Roman CYR"/>
                <w:sz w:val="24"/>
                <w:szCs w:val="24"/>
                <w:lang w:eastAsia="ru-RU"/>
              </w:rPr>
            </w:pPr>
            <w:r w:rsidRPr="00BC0885">
              <w:rPr>
                <w:rFonts w:eastAsia="Times New Roman" w:cs="Times New Roman"/>
                <w:sz w:val="24"/>
                <w:szCs w:val="24"/>
                <w:lang w:eastAsia="ru-RU"/>
              </w:rPr>
              <w:t xml:space="preserve">6.3. </w:t>
            </w:r>
            <w:r w:rsidRPr="00BC0885">
              <w:rPr>
                <w:rFonts w:ascii="Times New Roman CYR" w:eastAsia="Times New Roman" w:hAnsi="Times New Roman CYR" w:cs="Times New Roman CYR"/>
                <w:sz w:val="24"/>
                <w:szCs w:val="24"/>
                <w:lang w:eastAsia="ru-RU"/>
              </w:rPr>
              <w:t>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p>
        </w:tc>
        <w:tc>
          <w:tcPr>
            <w:tcW w:w="6379" w:type="dxa"/>
            <w:shd w:val="clear" w:color="auto" w:fill="auto"/>
          </w:tcPr>
          <w:p w:rsidR="00BC0885" w:rsidRPr="00BC0885" w:rsidRDefault="00BC0885" w:rsidP="00154027">
            <w:pPr>
              <w:widowControl w:val="0"/>
              <w:jc w:val="both"/>
              <w:rPr>
                <w:rFonts w:eastAsia="Times New Roman" w:cs="Times New Roman"/>
                <w:sz w:val="24"/>
                <w:szCs w:val="24"/>
                <w:lang w:eastAsia="ru-RU"/>
              </w:rPr>
            </w:pPr>
            <w:r w:rsidRPr="00BC0885">
              <w:rPr>
                <w:rFonts w:eastAsia="Times New Roman" w:cs="Times New Roman"/>
                <w:sz w:val="24"/>
                <w:szCs w:val="24"/>
                <w:lang w:eastAsia="ru-RU"/>
              </w:rPr>
              <w:t>Заключен договор со специализированной организацией на оказание услуг по осуществлению закупок товаров, работ, услуг для обеспечения нужд Министерства</w:t>
            </w:r>
            <w:r w:rsidR="00327F1E">
              <w:rPr>
                <w:rFonts w:eastAsia="Times New Roman" w:cs="Times New Roman"/>
                <w:sz w:val="24"/>
                <w:szCs w:val="24"/>
                <w:lang w:eastAsia="ru-RU"/>
              </w:rPr>
              <w:t xml:space="preserve">,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41.</w:t>
            </w:r>
          </w:p>
        </w:tc>
        <w:tc>
          <w:tcPr>
            <w:tcW w:w="6095" w:type="dxa"/>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8.2. 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p w:rsidR="00BC0885" w:rsidRPr="00BC0885" w:rsidRDefault="00BC0885" w:rsidP="00BC0885">
            <w:pPr>
              <w:jc w:val="left"/>
              <w:rPr>
                <w:rFonts w:eastAsia="Times New Roman" w:cs="Times New Roman"/>
                <w:sz w:val="24"/>
                <w:szCs w:val="24"/>
                <w:lang w:eastAsia="ru-RU"/>
              </w:rPr>
            </w:pP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 xml:space="preserve">В течение </w:t>
            </w:r>
            <w:r w:rsidR="00327F1E">
              <w:rPr>
                <w:rFonts w:eastAsia="Times New Roman" w:cs="Times New Roman"/>
                <w:sz w:val="24"/>
                <w:szCs w:val="24"/>
                <w:lang w:eastAsia="ru-RU"/>
              </w:rPr>
              <w:t xml:space="preserve">1 </w:t>
            </w:r>
            <w:r w:rsidR="00327F1E" w:rsidRPr="00327F1E">
              <w:rPr>
                <w:rFonts w:eastAsia="Times New Roman" w:cs="Times New Roman"/>
                <w:sz w:val="24"/>
                <w:szCs w:val="24"/>
                <w:lang w:eastAsia="ru-RU"/>
              </w:rPr>
              <w:t>полугодия 2023</w:t>
            </w:r>
            <w:r w:rsidRPr="00BC0885">
              <w:rPr>
                <w:rFonts w:eastAsia="Times New Roman" w:cs="Times New Roman"/>
                <w:sz w:val="24"/>
                <w:szCs w:val="24"/>
                <w:lang w:eastAsia="ru-RU"/>
              </w:rPr>
              <w:t xml:space="preserve"> года </w:t>
            </w:r>
            <w:r w:rsidR="00327F1E" w:rsidRPr="00327F1E">
              <w:rPr>
                <w:rFonts w:eastAsia="Times New Roman" w:cs="Times New Roman"/>
                <w:sz w:val="24"/>
                <w:szCs w:val="24"/>
                <w:lang w:eastAsia="ru-RU"/>
              </w:rPr>
              <w:t xml:space="preserve">межведомственные </w:t>
            </w:r>
            <w:r w:rsidRPr="00BC0885">
              <w:rPr>
                <w:rFonts w:eastAsia="Times New Roman" w:cs="Times New Roman"/>
                <w:sz w:val="24"/>
                <w:szCs w:val="24"/>
                <w:lang w:eastAsia="ru-RU"/>
              </w:rPr>
              <w:t xml:space="preserve"> </w:t>
            </w:r>
            <w:r w:rsidR="00327F1E" w:rsidRPr="00327F1E">
              <w:rPr>
                <w:rFonts w:eastAsia="Times New Roman" w:cs="Times New Roman"/>
                <w:sz w:val="24"/>
                <w:szCs w:val="24"/>
                <w:lang w:eastAsia="ru-RU"/>
              </w:rPr>
              <w:t xml:space="preserve"> </w:t>
            </w:r>
            <w:r w:rsidRPr="00BC0885">
              <w:rPr>
                <w:rFonts w:eastAsia="Times New Roman" w:cs="Times New Roman"/>
                <w:sz w:val="24"/>
                <w:szCs w:val="24"/>
                <w:lang w:eastAsia="ru-RU"/>
              </w:rPr>
              <w:t xml:space="preserve"> мероприятия по выявлению и пресечению фактов кор</w:t>
            </w:r>
            <w:r w:rsidR="00327F1E" w:rsidRPr="00327F1E">
              <w:rPr>
                <w:rFonts w:eastAsia="Times New Roman" w:cs="Times New Roman"/>
                <w:sz w:val="24"/>
                <w:szCs w:val="24"/>
                <w:lang w:eastAsia="ru-RU"/>
              </w:rPr>
              <w:t>рупции не проводились</w:t>
            </w:r>
            <w:r w:rsidRPr="00BC0885">
              <w:rPr>
                <w:rFonts w:eastAsia="Times New Roman" w:cs="Times New Roman"/>
                <w:sz w:val="24"/>
                <w:szCs w:val="24"/>
                <w:lang w:eastAsia="ru-RU"/>
              </w:rPr>
              <w:t>.</w:t>
            </w:r>
          </w:p>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color w:val="FF0000"/>
                <w:sz w:val="24"/>
                <w:szCs w:val="24"/>
                <w:lang w:eastAsia="ru-RU"/>
              </w:rPr>
              <w:t xml:space="preserve"> </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42.</w:t>
            </w:r>
          </w:p>
        </w:tc>
        <w:tc>
          <w:tcPr>
            <w:tcW w:w="6095" w:type="dxa"/>
            <w:shd w:val="clear" w:color="auto" w:fill="auto"/>
          </w:tcPr>
          <w:p w:rsidR="00BC0885" w:rsidRPr="00BC0885" w:rsidRDefault="00BC0885" w:rsidP="00BC0885">
            <w:pPr>
              <w:autoSpaceDE w:val="0"/>
              <w:autoSpaceDN w:val="0"/>
              <w:adjustRightInd w:val="0"/>
              <w:jc w:val="both"/>
              <w:rPr>
                <w:rFonts w:ascii="Times New Roman CYR" w:eastAsia="Times New Roman" w:hAnsi="Times New Roman CYR" w:cs="Times New Roman CYR"/>
                <w:spacing w:val="-6"/>
                <w:sz w:val="24"/>
                <w:szCs w:val="24"/>
                <w:lang w:eastAsia="ru-RU"/>
              </w:rPr>
            </w:pPr>
            <w:r w:rsidRPr="00BC0885">
              <w:rPr>
                <w:rFonts w:eastAsia="Times New Roman" w:cs="Times New Roman"/>
                <w:spacing w:val="-6"/>
                <w:sz w:val="24"/>
                <w:szCs w:val="24"/>
                <w:lang w:eastAsia="ru-RU"/>
              </w:rPr>
              <w:t xml:space="preserve">8.3. </w:t>
            </w:r>
            <w:r w:rsidRPr="00BC0885">
              <w:rPr>
                <w:rFonts w:ascii="Times New Roman CYR" w:eastAsia="Times New Roman" w:hAnsi="Times New Roman CYR" w:cs="Times New Roman CYR"/>
                <w:spacing w:val="-6"/>
                <w:sz w:val="24"/>
                <w:szCs w:val="24"/>
                <w:lang w:eastAsia="ru-RU"/>
              </w:rP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w:t>
            </w:r>
            <w:r w:rsidRPr="00BC0885">
              <w:rPr>
                <w:rFonts w:ascii="Times New Roman CYR" w:eastAsia="Times New Roman" w:hAnsi="Times New Roman CYR" w:cs="Times New Roman CYR"/>
                <w:spacing w:val="-6"/>
                <w:sz w:val="24"/>
                <w:szCs w:val="24"/>
                <w:lang w:eastAsia="ru-RU"/>
              </w:rPr>
              <w:lastRenderedPageBreak/>
              <w:t>власти Республики Дагестан, подведомственных им учреждениях (предприятиях) и органах местного самоуправления</w:t>
            </w:r>
          </w:p>
          <w:p w:rsidR="00BC0885" w:rsidRPr="00BC0885" w:rsidRDefault="00BC0885" w:rsidP="00BC0885">
            <w:pPr>
              <w:autoSpaceDE w:val="0"/>
              <w:autoSpaceDN w:val="0"/>
              <w:adjustRightInd w:val="0"/>
              <w:jc w:val="both"/>
              <w:rPr>
                <w:rFonts w:eastAsia="Times New Roman" w:cs="Times New Roman"/>
                <w:sz w:val="24"/>
                <w:szCs w:val="24"/>
                <w:lang w:eastAsia="ru-RU"/>
              </w:rPr>
            </w:pP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lastRenderedPageBreak/>
              <w:t xml:space="preserve">В </w:t>
            </w:r>
            <w:r w:rsidR="00047D17">
              <w:rPr>
                <w:rFonts w:eastAsia="Times New Roman" w:cs="Times New Roman"/>
                <w:sz w:val="24"/>
                <w:szCs w:val="24"/>
                <w:lang w:eastAsia="ru-RU"/>
              </w:rPr>
              <w:t>течение 1 полугодия 2023</w:t>
            </w:r>
            <w:r w:rsidRPr="00BC0885">
              <w:rPr>
                <w:rFonts w:eastAsia="Times New Roman" w:cs="Times New Roman"/>
                <w:sz w:val="24"/>
                <w:szCs w:val="24"/>
                <w:lang w:eastAsia="ru-RU"/>
              </w:rPr>
              <w:t xml:space="preserve"> год</w:t>
            </w:r>
            <w:r w:rsidR="00047D17">
              <w:rPr>
                <w:rFonts w:eastAsia="Times New Roman" w:cs="Times New Roman"/>
                <w:sz w:val="24"/>
                <w:szCs w:val="24"/>
                <w:lang w:eastAsia="ru-RU"/>
              </w:rPr>
              <w:t>а</w:t>
            </w:r>
            <w:r w:rsidRPr="00BC0885">
              <w:rPr>
                <w:rFonts w:eastAsia="Times New Roman" w:cs="Times New Roman"/>
                <w:sz w:val="24"/>
                <w:szCs w:val="24"/>
                <w:lang w:eastAsia="ru-RU"/>
              </w:rPr>
              <w:t xml:space="preserve"> информация, </w:t>
            </w:r>
            <w:r w:rsidRPr="00BC0885">
              <w:rPr>
                <w:rFonts w:ascii="Times New Roman CYR" w:eastAsia="Times New Roman" w:hAnsi="Times New Roman CYR" w:cs="Times New Roman CYR"/>
                <w:spacing w:val="-6"/>
                <w:sz w:val="24"/>
                <w:szCs w:val="24"/>
                <w:lang w:eastAsia="ru-RU"/>
              </w:rPr>
              <w:t>касающаяся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министерство не поступала</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43.</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pacing w:val="-6"/>
                <w:sz w:val="24"/>
                <w:szCs w:val="24"/>
                <w:lang w:eastAsia="ru-RU"/>
              </w:rPr>
              <w:t xml:space="preserve">8.4. </w:t>
            </w:r>
            <w:r w:rsidRPr="00BC0885">
              <w:rPr>
                <w:rFonts w:ascii="Times New Roman CYR" w:eastAsia="Times New Roman" w:hAnsi="Times New Roman CYR" w:cs="Times New Roman CYR"/>
                <w:spacing w:val="-6"/>
                <w:sz w:val="24"/>
                <w:szCs w:val="24"/>
                <w:lang w:eastAsia="ru-RU"/>
              </w:rPr>
              <w:t>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 xml:space="preserve">В течение </w:t>
            </w:r>
            <w:r w:rsidR="00047D17">
              <w:rPr>
                <w:rFonts w:eastAsia="Times New Roman" w:cs="Times New Roman"/>
                <w:sz w:val="24"/>
                <w:szCs w:val="24"/>
                <w:lang w:eastAsia="ru-RU"/>
              </w:rPr>
              <w:t>1 полугодия 2023</w:t>
            </w:r>
            <w:r w:rsidRPr="00BC0885">
              <w:rPr>
                <w:rFonts w:eastAsia="Times New Roman" w:cs="Times New Roman"/>
                <w:sz w:val="24"/>
                <w:szCs w:val="24"/>
                <w:lang w:eastAsia="ru-RU"/>
              </w:rPr>
              <w:t xml:space="preserve"> года министерством  межведомственные запросы в</w:t>
            </w:r>
            <w:r w:rsidRPr="00BC0885">
              <w:rPr>
                <w:rFonts w:ascii="Times New Roman CYR" w:eastAsia="Times New Roman" w:hAnsi="Times New Roman CYR" w:cs="Times New Roman CYR"/>
                <w:spacing w:val="-6"/>
                <w:sz w:val="24"/>
                <w:szCs w:val="24"/>
                <w:lang w:eastAsia="ru-RU"/>
              </w:rPr>
              <w:t xml:space="preserve"> территориальные правоохранительные и надзорные на предмет наличия информации, препятствующей назначению кандидатов на должности или заслуживающей внимания при принятии кадрового решения не направлялись.</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44.</w:t>
            </w:r>
          </w:p>
        </w:tc>
        <w:tc>
          <w:tcPr>
            <w:tcW w:w="6095" w:type="dxa"/>
            <w:shd w:val="clear" w:color="auto" w:fill="auto"/>
          </w:tcPr>
          <w:p w:rsidR="00BC0885" w:rsidRPr="00BC0885" w:rsidRDefault="00BC0885" w:rsidP="00BC0885">
            <w:pPr>
              <w:autoSpaceDE w:val="0"/>
              <w:autoSpaceDN w:val="0"/>
              <w:adjustRightInd w:val="0"/>
              <w:jc w:val="both"/>
              <w:rPr>
                <w:rFonts w:eastAsia="Times New Roman" w:cs="Times New Roman"/>
                <w:sz w:val="24"/>
                <w:szCs w:val="24"/>
                <w:lang w:eastAsia="ru-RU"/>
              </w:rPr>
            </w:pPr>
            <w:r w:rsidRPr="00BC0885">
              <w:rPr>
                <w:rFonts w:eastAsia="Times New Roman" w:cs="Times New Roman"/>
                <w:sz w:val="24"/>
                <w:szCs w:val="24"/>
                <w:lang w:eastAsia="ru-RU"/>
              </w:rPr>
              <w:t xml:space="preserve">10.1. </w:t>
            </w:r>
            <w:r w:rsidRPr="00BC0885">
              <w:rPr>
                <w:rFonts w:ascii="Times New Roman CYR" w:eastAsia="Times New Roman" w:hAnsi="Times New Roman CYR" w:cs="Times New Roman CYR"/>
                <w:sz w:val="24"/>
                <w:szCs w:val="24"/>
                <w:lang w:eastAsia="ru-RU"/>
              </w:rP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6379" w:type="dxa"/>
            <w:shd w:val="clear" w:color="auto" w:fill="auto"/>
          </w:tcPr>
          <w:p w:rsidR="00BC0885" w:rsidRPr="00BC0885" w:rsidRDefault="00BC0885" w:rsidP="00BC0885">
            <w:pPr>
              <w:widowControl w:val="0"/>
              <w:jc w:val="both"/>
              <w:rPr>
                <w:rFonts w:eastAsia="Times New Roman" w:cs="Times New Roman"/>
                <w:sz w:val="24"/>
                <w:szCs w:val="24"/>
                <w:lang w:eastAsia="ru-RU"/>
              </w:rPr>
            </w:pPr>
            <w:r w:rsidRPr="00BC0885">
              <w:rPr>
                <w:rFonts w:eastAsia="Times New Roman" w:cs="Times New Roman"/>
                <w:sz w:val="24"/>
                <w:szCs w:val="24"/>
                <w:lang w:eastAsia="ru-RU"/>
              </w:rPr>
              <w:t>Ужесточение требований к лицам, претендующим на замещение должностей государственной службы, к процессу подготовки и переподготовки государственных служащих</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r w:rsidR="00BC0885" w:rsidRPr="00BC0885" w:rsidTr="00DE4D67">
        <w:trPr>
          <w:trHeight w:val="314"/>
        </w:trPr>
        <w:tc>
          <w:tcPr>
            <w:tcW w:w="567" w:type="dxa"/>
            <w:shd w:val="clear" w:color="auto" w:fill="auto"/>
          </w:tcPr>
          <w:p w:rsidR="00BC0885" w:rsidRPr="00BC0885" w:rsidRDefault="00BC0885" w:rsidP="00BC0885">
            <w:pPr>
              <w:jc w:val="left"/>
              <w:rPr>
                <w:rFonts w:eastAsia="Times New Roman" w:cs="Times New Roman"/>
                <w:sz w:val="24"/>
                <w:szCs w:val="24"/>
                <w:lang w:eastAsia="ru-RU"/>
              </w:rPr>
            </w:pPr>
            <w:r w:rsidRPr="00BC0885">
              <w:rPr>
                <w:rFonts w:eastAsia="Times New Roman" w:cs="Times New Roman"/>
                <w:sz w:val="24"/>
                <w:szCs w:val="24"/>
                <w:lang w:eastAsia="ru-RU"/>
              </w:rPr>
              <w:t>45.</w:t>
            </w:r>
          </w:p>
        </w:tc>
        <w:tc>
          <w:tcPr>
            <w:tcW w:w="6095" w:type="dxa"/>
            <w:shd w:val="clear" w:color="auto" w:fill="auto"/>
          </w:tcPr>
          <w:p w:rsidR="00BC0885" w:rsidRPr="00BC0885" w:rsidRDefault="00BC0885" w:rsidP="00BC0885">
            <w:pPr>
              <w:widowControl w:val="0"/>
              <w:autoSpaceDE w:val="0"/>
              <w:autoSpaceDN w:val="0"/>
              <w:adjustRightInd w:val="0"/>
              <w:jc w:val="both"/>
              <w:rPr>
                <w:rFonts w:ascii="Times New Roman CYR" w:eastAsia="Times New Roman" w:hAnsi="Times New Roman CYR" w:cs="Times New Roman CYR"/>
                <w:sz w:val="24"/>
                <w:szCs w:val="24"/>
                <w:lang w:eastAsia="ru-RU"/>
              </w:rPr>
            </w:pPr>
            <w:r w:rsidRPr="00BC0885">
              <w:rPr>
                <w:rFonts w:ascii="Times New Roman CYR" w:eastAsia="Times New Roman" w:hAnsi="Times New Roman CYR" w:cs="Times New Roman CYR"/>
                <w:sz w:val="24"/>
                <w:szCs w:val="24"/>
                <w:lang w:eastAsia="ru-RU"/>
              </w:rPr>
              <w:t>10.2. 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p w:rsidR="00BC0885" w:rsidRPr="00BC0885" w:rsidRDefault="00BC0885" w:rsidP="00BC0885">
            <w:pPr>
              <w:jc w:val="left"/>
              <w:rPr>
                <w:rFonts w:eastAsia="Times New Roman" w:cs="Times New Roman"/>
                <w:sz w:val="24"/>
                <w:szCs w:val="24"/>
                <w:lang w:eastAsia="ru-RU"/>
              </w:rPr>
            </w:pPr>
          </w:p>
        </w:tc>
        <w:tc>
          <w:tcPr>
            <w:tcW w:w="6379" w:type="dxa"/>
            <w:shd w:val="clear" w:color="auto" w:fill="auto"/>
          </w:tcPr>
          <w:p w:rsidR="00BC0885" w:rsidRPr="00BC0885" w:rsidRDefault="00BC0885" w:rsidP="00817B6F">
            <w:pPr>
              <w:widowControl w:val="0"/>
              <w:jc w:val="both"/>
              <w:rPr>
                <w:rFonts w:eastAsia="Times New Roman" w:cs="Times New Roman"/>
                <w:sz w:val="24"/>
                <w:szCs w:val="24"/>
                <w:lang w:eastAsia="ru-RU"/>
              </w:rPr>
            </w:pPr>
            <w:r w:rsidRPr="00BC0885">
              <w:rPr>
                <w:rFonts w:eastAsia="Times New Roman" w:cs="Times New Roman"/>
                <w:sz w:val="24"/>
                <w:szCs w:val="24"/>
                <w:lang w:eastAsia="ru-RU"/>
              </w:rPr>
              <w:t xml:space="preserve">В течение </w:t>
            </w:r>
            <w:r w:rsidR="00817B6F" w:rsidRPr="00DC5AF2">
              <w:rPr>
                <w:rFonts w:eastAsia="Times New Roman" w:cs="Times New Roman"/>
                <w:sz w:val="24"/>
                <w:szCs w:val="24"/>
                <w:lang w:eastAsia="ru-RU"/>
              </w:rPr>
              <w:t>1 полугодия 2023</w:t>
            </w:r>
            <w:r w:rsidRPr="00BC0885">
              <w:rPr>
                <w:rFonts w:eastAsia="Times New Roman" w:cs="Times New Roman"/>
                <w:sz w:val="24"/>
                <w:szCs w:val="24"/>
                <w:lang w:eastAsia="ru-RU"/>
              </w:rPr>
              <w:t xml:space="preserve"> года </w:t>
            </w:r>
            <w:r w:rsidR="00817B6F" w:rsidRPr="00DC5AF2">
              <w:rPr>
                <w:rFonts w:eastAsia="Times New Roman" w:cs="Times New Roman"/>
                <w:sz w:val="24"/>
                <w:szCs w:val="24"/>
                <w:lang w:eastAsia="ru-RU"/>
              </w:rPr>
              <w:t xml:space="preserve"> </w:t>
            </w:r>
            <w:r w:rsidR="00674172" w:rsidRPr="00DC5AF2">
              <w:rPr>
                <w:rFonts w:eastAsia="Times New Roman" w:cs="Times New Roman"/>
                <w:sz w:val="24"/>
                <w:szCs w:val="24"/>
                <w:lang w:eastAsia="ru-RU"/>
              </w:rPr>
              <w:t>5</w:t>
            </w:r>
            <w:r w:rsidRPr="00BC0885">
              <w:rPr>
                <w:rFonts w:eastAsia="Times New Roman" w:cs="Times New Roman"/>
                <w:sz w:val="24"/>
                <w:szCs w:val="24"/>
                <w:lang w:eastAsia="ru-RU"/>
              </w:rPr>
              <w:t xml:space="preserve"> государственных </w:t>
            </w:r>
            <w:r w:rsidR="00DC5AF2" w:rsidRPr="00DC5AF2">
              <w:rPr>
                <w:rFonts w:eastAsia="Times New Roman" w:cs="Times New Roman"/>
                <w:sz w:val="24"/>
                <w:szCs w:val="24"/>
                <w:lang w:eastAsia="ru-RU"/>
              </w:rPr>
              <w:t xml:space="preserve">гражданских </w:t>
            </w:r>
            <w:r w:rsidRPr="00BC0885">
              <w:rPr>
                <w:rFonts w:eastAsia="Times New Roman" w:cs="Times New Roman"/>
                <w:sz w:val="24"/>
                <w:szCs w:val="24"/>
                <w:lang w:eastAsia="ru-RU"/>
              </w:rPr>
              <w:t>служащих министерства поощрены благодарностью Минсельхоза России</w:t>
            </w:r>
            <w:r w:rsidR="00DC5AF2" w:rsidRPr="00DC5AF2">
              <w:rPr>
                <w:rFonts w:eastAsia="Times New Roman" w:cs="Times New Roman"/>
                <w:sz w:val="24"/>
                <w:szCs w:val="24"/>
                <w:lang w:eastAsia="ru-RU"/>
              </w:rPr>
              <w:t>, Почетными грамотами Правительства РД и министерства</w:t>
            </w:r>
            <w:r w:rsidRPr="00BC0885">
              <w:rPr>
                <w:rFonts w:eastAsia="Times New Roman" w:cs="Times New Roman"/>
                <w:sz w:val="24"/>
                <w:szCs w:val="24"/>
                <w:lang w:eastAsia="ru-RU"/>
              </w:rPr>
              <w:t>.</w:t>
            </w:r>
          </w:p>
        </w:tc>
        <w:tc>
          <w:tcPr>
            <w:tcW w:w="1701" w:type="dxa"/>
            <w:shd w:val="clear" w:color="auto" w:fill="auto"/>
          </w:tcPr>
          <w:p w:rsidR="00BC0885" w:rsidRPr="00BC0885" w:rsidRDefault="00BC0885" w:rsidP="00BC0885">
            <w:pPr>
              <w:jc w:val="left"/>
              <w:rPr>
                <w:rFonts w:eastAsia="Times New Roman" w:cs="Times New Roman"/>
                <w:sz w:val="24"/>
                <w:szCs w:val="24"/>
                <w:u w:val="single"/>
                <w:lang w:eastAsia="ru-RU"/>
              </w:rPr>
            </w:pPr>
          </w:p>
        </w:tc>
      </w:tr>
    </w:tbl>
    <w:p w:rsidR="00BC0885" w:rsidRPr="00BC0885" w:rsidRDefault="00BC0885" w:rsidP="00BC0885">
      <w:pPr>
        <w:jc w:val="both"/>
        <w:rPr>
          <w:rFonts w:eastAsia="Times New Roman" w:cs="Times New Roman"/>
          <w:b/>
          <w:szCs w:val="28"/>
          <w:lang w:eastAsia="ru-RU"/>
        </w:rPr>
      </w:pPr>
    </w:p>
    <w:p w:rsidR="007E4EFC" w:rsidRDefault="007E4EFC"/>
    <w:sectPr w:rsidR="007E4EFC" w:rsidSect="00B94F09">
      <w:footerReference w:type="default" r:id="rId13"/>
      <w:pgSz w:w="16838" w:h="11906" w:orient="landscape" w:code="9"/>
      <w:pgMar w:top="851" w:right="851" w:bottom="851" w:left="85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F1" w:rsidRPr="00B71AF1" w:rsidRDefault="0054337C">
    <w:pPr>
      <w:pStyle w:val="a3"/>
      <w:rPr>
        <w:lang w:val="ru-RU"/>
      </w:rPr>
    </w:pPr>
    <w:r>
      <w:rPr>
        <w:lang w:val="ru-RU"/>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85"/>
    <w:rsid w:val="00035CE0"/>
    <w:rsid w:val="00047D17"/>
    <w:rsid w:val="00053204"/>
    <w:rsid w:val="000C4C26"/>
    <w:rsid w:val="00134BD7"/>
    <w:rsid w:val="00142CBA"/>
    <w:rsid w:val="00154027"/>
    <w:rsid w:val="001C63F0"/>
    <w:rsid w:val="00292F53"/>
    <w:rsid w:val="002E55DF"/>
    <w:rsid w:val="00310524"/>
    <w:rsid w:val="00327F1E"/>
    <w:rsid w:val="003B1209"/>
    <w:rsid w:val="003E62DC"/>
    <w:rsid w:val="00463CE7"/>
    <w:rsid w:val="0054337C"/>
    <w:rsid w:val="00674172"/>
    <w:rsid w:val="006C38BF"/>
    <w:rsid w:val="006D7B0F"/>
    <w:rsid w:val="006E67E1"/>
    <w:rsid w:val="007B500C"/>
    <w:rsid w:val="007E4EFC"/>
    <w:rsid w:val="00817B6F"/>
    <w:rsid w:val="009377B0"/>
    <w:rsid w:val="00A578E1"/>
    <w:rsid w:val="00AA709A"/>
    <w:rsid w:val="00AD7163"/>
    <w:rsid w:val="00BA60C4"/>
    <w:rsid w:val="00BB71AB"/>
    <w:rsid w:val="00BC0885"/>
    <w:rsid w:val="00BC567C"/>
    <w:rsid w:val="00CF649E"/>
    <w:rsid w:val="00D5706C"/>
    <w:rsid w:val="00DC5AF2"/>
    <w:rsid w:val="00E7408A"/>
    <w:rsid w:val="00FF1102"/>
    <w:rsid w:val="00FF6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A0CD"/>
  <w15:chartTrackingRefBased/>
  <w15:docId w15:val="{CC386E8E-63B4-43FF-BAF9-E0F4BA23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C0885"/>
    <w:pPr>
      <w:tabs>
        <w:tab w:val="center" w:pos="4677"/>
        <w:tab w:val="right" w:pos="9355"/>
      </w:tabs>
      <w:jc w:val="left"/>
    </w:pPr>
    <w:rPr>
      <w:rFonts w:eastAsia="Times New Roman" w:cs="Times New Roman"/>
      <w:sz w:val="24"/>
      <w:szCs w:val="24"/>
      <w:lang w:val="x-none" w:eastAsia="x-none"/>
    </w:rPr>
  </w:style>
  <w:style w:type="character" w:customStyle="1" w:styleId="a4">
    <w:name w:val="Нижний колонтитул Знак"/>
    <w:basedOn w:val="a0"/>
    <w:link w:val="a3"/>
    <w:rsid w:val="00BC0885"/>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553030/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obileonline.garant.ru/document/redirect/12136354/5" TargetMode="External"/><Relationship Id="rId12" Type="http://schemas.openxmlformats.org/officeDocument/2006/relationships/hyperlink" Target="http://mobileonline.garant.ru/document/redirect/26503794/4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12164203/0" TargetMode="External"/><Relationship Id="rId11" Type="http://schemas.openxmlformats.org/officeDocument/2006/relationships/hyperlink" Target="http://mobileonline.garant.ru/document/redirect/26503794/461" TargetMode="External"/><Relationship Id="rId5" Type="http://schemas.openxmlformats.org/officeDocument/2006/relationships/hyperlink" Target="http://mobileonline.garant.ru/document/redirect/12152272/0" TargetMode="External"/><Relationship Id="rId15" Type="http://schemas.openxmlformats.org/officeDocument/2006/relationships/theme" Target="theme/theme1.xml"/><Relationship Id="rId10" Type="http://schemas.openxmlformats.org/officeDocument/2006/relationships/hyperlink" Target="http://mobileonline.garant.ru/document/redirect/26503794/460" TargetMode="External"/><Relationship Id="rId4" Type="http://schemas.openxmlformats.org/officeDocument/2006/relationships/hyperlink" Target="http://mobileonline.garant.ru/document/redirect/12136354/5" TargetMode="External"/><Relationship Id="rId9" Type="http://schemas.openxmlformats.org/officeDocument/2006/relationships/hyperlink" Target="http://mobileonline.garant.ru/document/redirect/26503794/13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14</Pages>
  <Words>4866</Words>
  <Characters>27741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2023-07-04T07:36:00Z</dcterms:created>
  <dcterms:modified xsi:type="dcterms:W3CDTF">2023-07-04T12:16:00Z</dcterms:modified>
</cp:coreProperties>
</file>